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6CED4" w14:textId="77777777" w:rsidR="009F7D17" w:rsidRPr="00394320" w:rsidRDefault="00DD5846" w:rsidP="00E3092C">
      <w:pPr>
        <w:pStyle w:val="Default"/>
        <w:rPr>
          <w:rFonts w:ascii="Garamond" w:hAnsi="Garamond" w:cs="Times New Roman"/>
          <w:color w:val="505154"/>
          <w:sz w:val="50"/>
          <w:szCs w:val="36"/>
        </w:rPr>
      </w:pPr>
      <w:r w:rsidRPr="00394320">
        <w:rPr>
          <w:rFonts w:ascii="Garamond" w:hAnsi="Garamond" w:cs="Times New Roman"/>
          <w:color w:val="505154"/>
          <w:sz w:val="50"/>
          <w:szCs w:val="36"/>
        </w:rPr>
        <w:t>Musterbericht</w:t>
      </w:r>
    </w:p>
    <w:p w14:paraId="2219662C" w14:textId="36E39A33" w:rsidR="009F7D17" w:rsidRPr="00394320" w:rsidRDefault="00DD5846" w:rsidP="009F7D17">
      <w:pPr>
        <w:pStyle w:val="Default"/>
        <w:spacing w:before="120" w:line="200" w:lineRule="atLeast"/>
        <w:rPr>
          <w:rFonts w:ascii="Garamond" w:hAnsi="Garamond" w:cs="Times New Roman"/>
          <w:szCs w:val="36"/>
        </w:rPr>
      </w:pPr>
      <w:r w:rsidRPr="00394320">
        <w:rPr>
          <w:rFonts w:ascii="Garamond" w:hAnsi="Garamond" w:cs="Times New Roman"/>
          <w:szCs w:val="36"/>
        </w:rPr>
        <w:t xml:space="preserve">zur Aufsichtsprüfung für Banken </w:t>
      </w:r>
      <w:r w:rsidR="0087714B">
        <w:rPr>
          <w:rFonts w:ascii="Garamond" w:hAnsi="Garamond" w:cs="Times New Roman"/>
          <w:szCs w:val="36"/>
        </w:rPr>
        <w:t xml:space="preserve">bzw. der Gruppe </w:t>
      </w:r>
      <w:r w:rsidR="00254B93">
        <w:rPr>
          <w:rFonts w:ascii="Garamond" w:hAnsi="Garamond" w:cs="Times New Roman"/>
          <w:szCs w:val="36"/>
        </w:rPr>
        <w:t>(Anhang A2)</w:t>
      </w:r>
    </w:p>
    <w:p w14:paraId="43716094" w14:textId="77777777" w:rsidR="003A65D2" w:rsidRPr="00394320" w:rsidRDefault="003A65D2" w:rsidP="009F7D17">
      <w:pPr>
        <w:pStyle w:val="Default"/>
        <w:spacing w:before="120" w:line="200" w:lineRule="atLeast"/>
        <w:rPr>
          <w:rFonts w:ascii="Garamond" w:hAnsi="Garamond" w:cs="Times New Roman"/>
          <w:szCs w:val="36"/>
        </w:rPr>
      </w:pPr>
    </w:p>
    <w:p w14:paraId="6F92E940" w14:textId="77777777" w:rsidR="009F7D17" w:rsidRPr="00DD5846" w:rsidRDefault="009F7D17" w:rsidP="009F7D17">
      <w:pPr>
        <w:pStyle w:val="Default"/>
        <w:spacing w:before="120"/>
        <w:rPr>
          <w:rFonts w:ascii="Arial" w:hAnsi="Arial" w:cs="Arial"/>
          <w:b/>
          <w:sz w:val="20"/>
          <w:szCs w:val="20"/>
        </w:rPr>
      </w:pPr>
    </w:p>
    <w:p w14:paraId="720B3422" w14:textId="03CD9D50" w:rsidR="00DF2E41" w:rsidRPr="00DD5846" w:rsidRDefault="00FE1E98" w:rsidP="009F7D17">
      <w:pPr>
        <w:pStyle w:val="Default"/>
        <w:spacing w:before="120"/>
        <w:rPr>
          <w:rFonts w:ascii="Garamond" w:hAnsi="Garamond" w:cs="Arial"/>
          <w:sz w:val="20"/>
          <w:szCs w:val="20"/>
        </w:rPr>
      </w:pPr>
      <w:r w:rsidRPr="00BF6946">
        <w:rPr>
          <w:rFonts w:ascii="Garamond" w:hAnsi="Garamond" w:cs="Arial"/>
          <w:sz w:val="20"/>
          <w:szCs w:val="20"/>
        </w:rPr>
        <w:t>Januar</w:t>
      </w:r>
      <w:r w:rsidR="00636495" w:rsidRPr="00BF6946">
        <w:rPr>
          <w:rFonts w:ascii="Garamond" w:hAnsi="Garamond" w:cs="Arial"/>
          <w:sz w:val="20"/>
          <w:szCs w:val="20"/>
        </w:rPr>
        <w:t xml:space="preserve"> 202</w:t>
      </w:r>
      <w:r w:rsidR="006E6503">
        <w:rPr>
          <w:rFonts w:ascii="Garamond" w:hAnsi="Garamond" w:cs="Arial"/>
          <w:sz w:val="20"/>
          <w:szCs w:val="20"/>
        </w:rPr>
        <w:t>6</w:t>
      </w:r>
    </w:p>
    <w:p w14:paraId="32DBEE2B" w14:textId="77777777" w:rsidR="00C7008E" w:rsidRPr="00DD5846" w:rsidRDefault="00C7008E" w:rsidP="009F7D17">
      <w:pPr>
        <w:pStyle w:val="Default"/>
        <w:spacing w:before="120"/>
        <w:rPr>
          <w:rFonts w:ascii="Garamond" w:hAnsi="Garamond" w:cs="Arial"/>
          <w:sz w:val="20"/>
          <w:szCs w:val="20"/>
        </w:rPr>
      </w:pPr>
    </w:p>
    <w:p w14:paraId="3A4CBE2A" w14:textId="53ED9351" w:rsidR="00611F2C" w:rsidRPr="00DD5846" w:rsidRDefault="00611F2C" w:rsidP="00EC489E">
      <w:pPr>
        <w:pStyle w:val="Default"/>
        <w:spacing w:before="120"/>
        <w:rPr>
          <w:rFonts w:ascii="Garamond" w:hAnsi="Garamond" w:cs="Arial"/>
          <w:sz w:val="20"/>
          <w:szCs w:val="20"/>
        </w:rPr>
      </w:pPr>
    </w:p>
    <w:p w14:paraId="2D28233B" w14:textId="5C396CA8" w:rsidR="00611F2C" w:rsidRPr="00DD5846" w:rsidRDefault="00611F2C" w:rsidP="00EC489E">
      <w:pPr>
        <w:pStyle w:val="Default"/>
        <w:spacing w:before="120"/>
        <w:rPr>
          <w:rFonts w:ascii="Garamond" w:hAnsi="Garamond" w:cs="Arial"/>
          <w:sz w:val="20"/>
          <w:szCs w:val="20"/>
        </w:rPr>
        <w:sectPr w:rsidR="00611F2C" w:rsidRPr="00DD5846" w:rsidSect="003A65D2">
          <w:headerReference w:type="even" r:id="rId11"/>
          <w:headerReference w:type="default" r:id="rId12"/>
          <w:footerReference w:type="even" r:id="rId13"/>
          <w:footerReference w:type="default" r:id="rId14"/>
          <w:headerReference w:type="first" r:id="rId15"/>
          <w:pgSz w:w="11906" w:h="16838" w:code="9"/>
          <w:pgMar w:top="8647" w:right="1418" w:bottom="1134" w:left="1418" w:header="851" w:footer="454" w:gutter="0"/>
          <w:paperSrc w:first="259" w:other="259"/>
          <w:cols w:space="708"/>
          <w:titlePg/>
          <w:docGrid w:linePitch="360"/>
        </w:sectPr>
      </w:pPr>
    </w:p>
    <w:sdt>
      <w:sdtPr>
        <w:rPr>
          <w:rFonts w:ascii="Arial" w:eastAsia="Times New Roman" w:hAnsi="Arial" w:cs="Arial"/>
          <w:b w:val="0"/>
          <w:bCs w:val="0"/>
          <w:color w:val="auto"/>
          <w:sz w:val="20"/>
          <w:szCs w:val="20"/>
          <w:lang w:val="de-DE" w:eastAsia="de-DE"/>
        </w:rPr>
        <w:id w:val="1786393033"/>
        <w:docPartObj>
          <w:docPartGallery w:val="Table of Contents"/>
          <w:docPartUnique/>
        </w:docPartObj>
      </w:sdtPr>
      <w:sdtEndPr>
        <w:rPr>
          <w:rFonts w:ascii="Times New Roman" w:hAnsi="Times New Roman" w:cs="Times New Roman"/>
        </w:rPr>
      </w:sdtEndPr>
      <w:sdtContent>
        <w:p w14:paraId="77DC5D54" w14:textId="77777777" w:rsidR="003A65D2" w:rsidRPr="00BB6029" w:rsidRDefault="003A65D2" w:rsidP="00254B93">
          <w:pPr>
            <w:pStyle w:val="Inhaltsverzeichnisberschrift"/>
            <w:spacing w:before="120" w:after="0" w:line="240" w:lineRule="auto"/>
            <w:rPr>
              <w:rFonts w:ascii="Arial" w:hAnsi="Arial" w:cs="Arial"/>
              <w:sz w:val="20"/>
              <w:szCs w:val="20"/>
            </w:rPr>
          </w:pPr>
          <w:r w:rsidRPr="00254B93">
            <w:rPr>
              <w:rFonts w:ascii="Arial" w:hAnsi="Arial" w:cs="Arial"/>
              <w:sz w:val="20"/>
              <w:szCs w:val="20"/>
              <w:lang w:val="de-DE"/>
            </w:rPr>
            <w:t>Inhalt</w:t>
          </w:r>
        </w:p>
        <w:p w14:paraId="50F7E240" w14:textId="487F932E" w:rsidR="009E4FE7" w:rsidRDefault="00326E88">
          <w:pPr>
            <w:pStyle w:val="Verzeichnis1"/>
            <w:rPr>
              <w:rFonts w:asciiTheme="minorHAnsi" w:eastAsiaTheme="minorEastAsia" w:hAnsiTheme="minorHAnsi" w:cstheme="minorBidi"/>
              <w:b w:val="0"/>
              <w:bCs w:val="0"/>
              <w:kern w:val="2"/>
              <w:lang w:eastAsia="de-CH"/>
              <w14:ligatures w14:val="standardContextual"/>
            </w:rPr>
          </w:pPr>
          <w:r w:rsidRPr="00DF10D9">
            <w:rPr>
              <w:rFonts w:ascii="Arial" w:hAnsi="Arial" w:cs="Arial"/>
              <w:sz w:val="20"/>
              <w:szCs w:val="20"/>
            </w:rPr>
            <w:fldChar w:fldCharType="begin"/>
          </w:r>
          <w:r w:rsidRPr="00DF10D9">
            <w:rPr>
              <w:rFonts w:ascii="Arial" w:hAnsi="Arial" w:cs="Arial"/>
              <w:sz w:val="20"/>
              <w:szCs w:val="20"/>
            </w:rPr>
            <w:instrText xml:space="preserve"> TOC \o "2-2" \h \z \t "Überschrift 1;1;Überschrift 3;3;FINMA Gliederung Ebene 1;1;FINMA Gliederung Ebene 2;2;FINMA Gliederung Ebene 3;3" </w:instrText>
          </w:r>
          <w:r w:rsidRPr="00DF10D9">
            <w:rPr>
              <w:rFonts w:ascii="Arial" w:hAnsi="Arial" w:cs="Arial"/>
              <w:sz w:val="20"/>
              <w:szCs w:val="20"/>
            </w:rPr>
            <w:fldChar w:fldCharType="separate"/>
          </w:r>
          <w:hyperlink w:anchor="_Toc216425749" w:history="1">
            <w:r w:rsidR="009E4FE7" w:rsidRPr="00B80C39">
              <w:rPr>
                <w:rStyle w:val="Hyperlink"/>
              </w:rPr>
              <w:t>1.</w:t>
            </w:r>
            <w:r w:rsidR="009E4FE7">
              <w:rPr>
                <w:rFonts w:asciiTheme="minorHAnsi" w:eastAsiaTheme="minorEastAsia" w:hAnsiTheme="minorHAnsi" w:cstheme="minorBidi"/>
                <w:b w:val="0"/>
                <w:bCs w:val="0"/>
                <w:kern w:val="2"/>
                <w:lang w:eastAsia="de-CH"/>
                <w14:ligatures w14:val="standardContextual"/>
              </w:rPr>
              <w:tab/>
            </w:r>
            <w:r w:rsidR="009E4FE7" w:rsidRPr="00B80C39">
              <w:rPr>
                <w:rStyle w:val="Hyperlink"/>
              </w:rPr>
              <w:t>Rahmenbedingungen der Aufsichtsprüfung</w:t>
            </w:r>
            <w:r w:rsidR="009E4FE7">
              <w:rPr>
                <w:webHidden/>
              </w:rPr>
              <w:tab/>
            </w:r>
            <w:r w:rsidR="009E4FE7">
              <w:rPr>
                <w:webHidden/>
              </w:rPr>
              <w:fldChar w:fldCharType="begin"/>
            </w:r>
            <w:r w:rsidR="009E4FE7">
              <w:rPr>
                <w:webHidden/>
              </w:rPr>
              <w:instrText xml:space="preserve"> PAGEREF _Toc216425749 \h </w:instrText>
            </w:r>
            <w:r w:rsidR="009E4FE7">
              <w:rPr>
                <w:webHidden/>
              </w:rPr>
            </w:r>
            <w:r w:rsidR="009E4FE7">
              <w:rPr>
                <w:webHidden/>
              </w:rPr>
              <w:fldChar w:fldCharType="separate"/>
            </w:r>
            <w:r w:rsidR="009E4FE7">
              <w:rPr>
                <w:webHidden/>
              </w:rPr>
              <w:t>6</w:t>
            </w:r>
            <w:r w:rsidR="009E4FE7">
              <w:rPr>
                <w:webHidden/>
              </w:rPr>
              <w:fldChar w:fldCharType="end"/>
            </w:r>
          </w:hyperlink>
        </w:p>
        <w:p w14:paraId="50AF9CB2" w14:textId="29DFB0A0"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750" w:history="1">
            <w:r w:rsidRPr="00B80C39">
              <w:rPr>
                <w:rStyle w:val="Hyperlink"/>
              </w:rPr>
              <w:t>2.</w:t>
            </w:r>
            <w:r>
              <w:rPr>
                <w:rFonts w:asciiTheme="minorHAnsi" w:eastAsiaTheme="minorEastAsia" w:hAnsiTheme="minorHAnsi" w:cstheme="minorBidi"/>
                <w:b w:val="0"/>
                <w:bCs w:val="0"/>
                <w:kern w:val="2"/>
                <w:lang w:eastAsia="de-CH"/>
                <w14:ligatures w14:val="standardContextual"/>
              </w:rPr>
              <w:tab/>
            </w:r>
            <w:r w:rsidRPr="00B80C39">
              <w:rPr>
                <w:rStyle w:val="Hyperlink"/>
              </w:rPr>
              <w:t>Weitere Mandate der Revisionsstelle bei der beaufsichtigten Bank bzw. innerhalb derselben Gruppe</w:t>
            </w:r>
            <w:r>
              <w:rPr>
                <w:webHidden/>
              </w:rPr>
              <w:tab/>
            </w:r>
            <w:r>
              <w:rPr>
                <w:webHidden/>
              </w:rPr>
              <w:fldChar w:fldCharType="begin"/>
            </w:r>
            <w:r>
              <w:rPr>
                <w:webHidden/>
              </w:rPr>
              <w:instrText xml:space="preserve"> PAGEREF _Toc216425750 \h </w:instrText>
            </w:r>
            <w:r>
              <w:rPr>
                <w:webHidden/>
              </w:rPr>
            </w:r>
            <w:r>
              <w:rPr>
                <w:webHidden/>
              </w:rPr>
              <w:fldChar w:fldCharType="separate"/>
            </w:r>
            <w:r>
              <w:rPr>
                <w:webHidden/>
              </w:rPr>
              <w:t>6</w:t>
            </w:r>
            <w:r>
              <w:rPr>
                <w:webHidden/>
              </w:rPr>
              <w:fldChar w:fldCharType="end"/>
            </w:r>
          </w:hyperlink>
        </w:p>
        <w:p w14:paraId="7C1B44A2" w14:textId="445BCD91"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751" w:history="1">
            <w:r w:rsidRPr="00B80C39">
              <w:rPr>
                <w:rStyle w:val="Hyperlink"/>
              </w:rPr>
              <w:t>3.</w:t>
            </w:r>
            <w:r>
              <w:rPr>
                <w:rFonts w:asciiTheme="minorHAnsi" w:eastAsiaTheme="minorEastAsia" w:hAnsiTheme="minorHAnsi" w:cstheme="minorBidi"/>
                <w:b w:val="0"/>
                <w:bCs w:val="0"/>
                <w:kern w:val="2"/>
                <w:lang w:eastAsia="de-CH"/>
                <w14:ligatures w14:val="standardContextual"/>
              </w:rPr>
              <w:tab/>
            </w:r>
            <w:r w:rsidRPr="00B80C39">
              <w:rPr>
                <w:rStyle w:val="Hyperlink"/>
              </w:rPr>
              <w:t>Zusammenfassung der Prüfresultate aus der Aufsichtsprüfung</w:t>
            </w:r>
            <w:r>
              <w:rPr>
                <w:webHidden/>
              </w:rPr>
              <w:tab/>
            </w:r>
            <w:r>
              <w:rPr>
                <w:webHidden/>
              </w:rPr>
              <w:fldChar w:fldCharType="begin"/>
            </w:r>
            <w:r>
              <w:rPr>
                <w:webHidden/>
              </w:rPr>
              <w:instrText xml:space="preserve"> PAGEREF _Toc216425751 \h </w:instrText>
            </w:r>
            <w:r>
              <w:rPr>
                <w:webHidden/>
              </w:rPr>
            </w:r>
            <w:r>
              <w:rPr>
                <w:webHidden/>
              </w:rPr>
              <w:fldChar w:fldCharType="separate"/>
            </w:r>
            <w:r>
              <w:rPr>
                <w:webHidden/>
              </w:rPr>
              <w:t>6</w:t>
            </w:r>
            <w:r>
              <w:rPr>
                <w:webHidden/>
              </w:rPr>
              <w:fldChar w:fldCharType="end"/>
            </w:r>
          </w:hyperlink>
        </w:p>
        <w:p w14:paraId="3D24F13D" w14:textId="7DD33599"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2" w:history="1">
            <w:r w:rsidRPr="00B80C39">
              <w:rPr>
                <w:rStyle w:val="Hyperlink"/>
                <w:noProof/>
              </w:rPr>
              <w:t>3.1</w:t>
            </w:r>
            <w:r>
              <w:rPr>
                <w:rFonts w:asciiTheme="minorHAnsi" w:eastAsiaTheme="minorEastAsia" w:hAnsiTheme="minorHAnsi" w:cstheme="minorBidi"/>
                <w:noProof/>
                <w:kern w:val="2"/>
                <w:lang w:eastAsia="de-CH"/>
                <w14:ligatures w14:val="standardContextual"/>
              </w:rPr>
              <w:tab/>
            </w:r>
            <w:r w:rsidRPr="00B80C39">
              <w:rPr>
                <w:rStyle w:val="Hyperlink"/>
                <w:noProof/>
              </w:rPr>
              <w:t>Beanstandungen</w:t>
            </w:r>
            <w:r>
              <w:rPr>
                <w:noProof/>
                <w:webHidden/>
              </w:rPr>
              <w:tab/>
            </w:r>
            <w:r>
              <w:rPr>
                <w:noProof/>
                <w:webHidden/>
              </w:rPr>
              <w:fldChar w:fldCharType="begin"/>
            </w:r>
            <w:r>
              <w:rPr>
                <w:noProof/>
                <w:webHidden/>
              </w:rPr>
              <w:instrText xml:space="preserve"> PAGEREF _Toc216425752 \h </w:instrText>
            </w:r>
            <w:r>
              <w:rPr>
                <w:noProof/>
                <w:webHidden/>
              </w:rPr>
            </w:r>
            <w:r>
              <w:rPr>
                <w:noProof/>
                <w:webHidden/>
              </w:rPr>
              <w:fldChar w:fldCharType="separate"/>
            </w:r>
            <w:r>
              <w:rPr>
                <w:noProof/>
                <w:webHidden/>
              </w:rPr>
              <w:t>6</w:t>
            </w:r>
            <w:r>
              <w:rPr>
                <w:noProof/>
                <w:webHidden/>
              </w:rPr>
              <w:fldChar w:fldCharType="end"/>
            </w:r>
          </w:hyperlink>
        </w:p>
        <w:p w14:paraId="4D478AB3" w14:textId="0D3F6AAB"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3" w:history="1">
            <w:r w:rsidRPr="00B80C39">
              <w:rPr>
                <w:rStyle w:val="Hyperlink"/>
                <w:noProof/>
              </w:rPr>
              <w:t>3.2</w:t>
            </w:r>
            <w:r>
              <w:rPr>
                <w:rFonts w:asciiTheme="minorHAnsi" w:eastAsiaTheme="minorEastAsia" w:hAnsiTheme="minorHAnsi" w:cstheme="minorBidi"/>
                <w:noProof/>
                <w:kern w:val="2"/>
                <w:lang w:eastAsia="de-CH"/>
                <w14:ligatures w14:val="standardContextual"/>
              </w:rPr>
              <w:tab/>
            </w:r>
            <w:r w:rsidRPr="00B80C39">
              <w:rPr>
                <w:rStyle w:val="Hyperlink"/>
                <w:noProof/>
              </w:rPr>
              <w:t>Empfehlungen</w:t>
            </w:r>
            <w:r>
              <w:rPr>
                <w:noProof/>
                <w:webHidden/>
              </w:rPr>
              <w:tab/>
            </w:r>
            <w:r>
              <w:rPr>
                <w:noProof/>
                <w:webHidden/>
              </w:rPr>
              <w:fldChar w:fldCharType="begin"/>
            </w:r>
            <w:r>
              <w:rPr>
                <w:noProof/>
                <w:webHidden/>
              </w:rPr>
              <w:instrText xml:space="preserve"> PAGEREF _Toc216425753 \h </w:instrText>
            </w:r>
            <w:r>
              <w:rPr>
                <w:noProof/>
                <w:webHidden/>
              </w:rPr>
            </w:r>
            <w:r>
              <w:rPr>
                <w:noProof/>
                <w:webHidden/>
              </w:rPr>
              <w:fldChar w:fldCharType="separate"/>
            </w:r>
            <w:r>
              <w:rPr>
                <w:noProof/>
                <w:webHidden/>
              </w:rPr>
              <w:t>7</w:t>
            </w:r>
            <w:r>
              <w:rPr>
                <w:noProof/>
                <w:webHidden/>
              </w:rPr>
              <w:fldChar w:fldCharType="end"/>
            </w:r>
          </w:hyperlink>
        </w:p>
        <w:p w14:paraId="4CA0D130" w14:textId="770C3923"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4" w:history="1">
            <w:r w:rsidRPr="00B80C39">
              <w:rPr>
                <w:rStyle w:val="Hyperlink"/>
                <w:noProof/>
              </w:rPr>
              <w:t>3.3</w:t>
            </w:r>
            <w:r>
              <w:rPr>
                <w:rFonts w:asciiTheme="minorHAnsi" w:eastAsiaTheme="minorEastAsia" w:hAnsiTheme="minorHAnsi" w:cstheme="minorBidi"/>
                <w:noProof/>
                <w:kern w:val="2"/>
                <w:lang w:eastAsia="de-CH"/>
                <w14:ligatures w14:val="standardContextual"/>
              </w:rPr>
              <w:tab/>
            </w:r>
            <w:r w:rsidRPr="00B80C39">
              <w:rPr>
                <w:rStyle w:val="Hyperlink"/>
                <w:noProof/>
              </w:rPr>
              <w:t>Beanstandungen des Vorjahres</w:t>
            </w:r>
            <w:r>
              <w:rPr>
                <w:noProof/>
                <w:webHidden/>
              </w:rPr>
              <w:tab/>
            </w:r>
            <w:r>
              <w:rPr>
                <w:noProof/>
                <w:webHidden/>
              </w:rPr>
              <w:fldChar w:fldCharType="begin"/>
            </w:r>
            <w:r>
              <w:rPr>
                <w:noProof/>
                <w:webHidden/>
              </w:rPr>
              <w:instrText xml:space="preserve"> PAGEREF _Toc216425754 \h </w:instrText>
            </w:r>
            <w:r>
              <w:rPr>
                <w:noProof/>
                <w:webHidden/>
              </w:rPr>
            </w:r>
            <w:r>
              <w:rPr>
                <w:noProof/>
                <w:webHidden/>
              </w:rPr>
              <w:fldChar w:fldCharType="separate"/>
            </w:r>
            <w:r>
              <w:rPr>
                <w:noProof/>
                <w:webHidden/>
              </w:rPr>
              <w:t>7</w:t>
            </w:r>
            <w:r>
              <w:rPr>
                <w:noProof/>
                <w:webHidden/>
              </w:rPr>
              <w:fldChar w:fldCharType="end"/>
            </w:r>
          </w:hyperlink>
        </w:p>
        <w:p w14:paraId="5086084F" w14:textId="2C282ABE"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5" w:history="1">
            <w:r w:rsidRPr="00B80C39">
              <w:rPr>
                <w:rStyle w:val="Hyperlink"/>
                <w:noProof/>
              </w:rPr>
              <w:t>3.4</w:t>
            </w:r>
            <w:r>
              <w:rPr>
                <w:rFonts w:asciiTheme="minorHAnsi" w:eastAsiaTheme="minorEastAsia" w:hAnsiTheme="minorHAnsi" w:cstheme="minorBidi"/>
                <w:noProof/>
                <w:kern w:val="2"/>
                <w:lang w:eastAsia="de-CH"/>
                <w14:ligatures w14:val="standardContextual"/>
              </w:rPr>
              <w:tab/>
            </w:r>
            <w:r w:rsidRPr="00B80C39">
              <w:rPr>
                <w:rStyle w:val="Hyperlink"/>
                <w:noProof/>
              </w:rPr>
              <w:t>Empfehlungen des Vorjahres</w:t>
            </w:r>
            <w:r>
              <w:rPr>
                <w:noProof/>
                <w:webHidden/>
              </w:rPr>
              <w:tab/>
            </w:r>
            <w:r>
              <w:rPr>
                <w:noProof/>
                <w:webHidden/>
              </w:rPr>
              <w:fldChar w:fldCharType="begin"/>
            </w:r>
            <w:r>
              <w:rPr>
                <w:noProof/>
                <w:webHidden/>
              </w:rPr>
              <w:instrText xml:space="preserve"> PAGEREF _Toc216425755 \h </w:instrText>
            </w:r>
            <w:r>
              <w:rPr>
                <w:noProof/>
                <w:webHidden/>
              </w:rPr>
            </w:r>
            <w:r>
              <w:rPr>
                <w:noProof/>
                <w:webHidden/>
              </w:rPr>
              <w:fldChar w:fldCharType="separate"/>
            </w:r>
            <w:r>
              <w:rPr>
                <w:noProof/>
                <w:webHidden/>
              </w:rPr>
              <w:t>7</w:t>
            </w:r>
            <w:r>
              <w:rPr>
                <w:noProof/>
                <w:webHidden/>
              </w:rPr>
              <w:fldChar w:fldCharType="end"/>
            </w:r>
          </w:hyperlink>
        </w:p>
        <w:p w14:paraId="40F9B1CA" w14:textId="41836F81"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6" w:history="1">
            <w:r w:rsidRPr="00B80C39">
              <w:rPr>
                <w:rStyle w:val="Hyperlink"/>
                <w:noProof/>
              </w:rPr>
              <w:t>3.5</w:t>
            </w:r>
            <w:r>
              <w:rPr>
                <w:rFonts w:asciiTheme="minorHAnsi" w:eastAsiaTheme="minorEastAsia" w:hAnsiTheme="minorHAnsi" w:cstheme="minorBidi"/>
                <w:noProof/>
                <w:kern w:val="2"/>
                <w:lang w:eastAsia="de-CH"/>
                <w14:ligatures w14:val="standardContextual"/>
              </w:rPr>
              <w:tab/>
            </w:r>
            <w:r w:rsidRPr="00B80C39">
              <w:rPr>
                <w:rStyle w:val="Hyperlink"/>
                <w:noProof/>
              </w:rPr>
              <w:t>Bestätigung zu aufsichtsrechtlichen Vorgaben der FMA</w:t>
            </w:r>
            <w:r>
              <w:rPr>
                <w:noProof/>
                <w:webHidden/>
              </w:rPr>
              <w:tab/>
            </w:r>
            <w:r>
              <w:rPr>
                <w:noProof/>
                <w:webHidden/>
              </w:rPr>
              <w:fldChar w:fldCharType="begin"/>
            </w:r>
            <w:r>
              <w:rPr>
                <w:noProof/>
                <w:webHidden/>
              </w:rPr>
              <w:instrText xml:space="preserve"> PAGEREF _Toc216425756 \h </w:instrText>
            </w:r>
            <w:r>
              <w:rPr>
                <w:noProof/>
                <w:webHidden/>
              </w:rPr>
            </w:r>
            <w:r>
              <w:rPr>
                <w:noProof/>
                <w:webHidden/>
              </w:rPr>
              <w:fldChar w:fldCharType="separate"/>
            </w:r>
            <w:r>
              <w:rPr>
                <w:noProof/>
                <w:webHidden/>
              </w:rPr>
              <w:t>7</w:t>
            </w:r>
            <w:r>
              <w:rPr>
                <w:noProof/>
                <w:webHidden/>
              </w:rPr>
              <w:fldChar w:fldCharType="end"/>
            </w:r>
          </w:hyperlink>
        </w:p>
        <w:p w14:paraId="46266C39" w14:textId="061110BB"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7" w:history="1">
            <w:r w:rsidRPr="00B80C39">
              <w:rPr>
                <w:rStyle w:val="Hyperlink"/>
                <w:noProof/>
              </w:rPr>
              <w:t>3.6</w:t>
            </w:r>
            <w:r>
              <w:rPr>
                <w:rFonts w:asciiTheme="minorHAnsi" w:eastAsiaTheme="minorEastAsia" w:hAnsiTheme="minorHAnsi" w:cstheme="minorBidi"/>
                <w:noProof/>
                <w:kern w:val="2"/>
                <w:lang w:eastAsia="de-CH"/>
                <w14:ligatures w14:val="standardContextual"/>
              </w:rPr>
              <w:tab/>
            </w:r>
            <w:r w:rsidRPr="00B80C39">
              <w:rPr>
                <w:rStyle w:val="Hyperlink"/>
                <w:noProof/>
              </w:rPr>
              <w:t>Wesentliche Feststellungen der Interne Revision</w:t>
            </w:r>
            <w:r>
              <w:rPr>
                <w:noProof/>
                <w:webHidden/>
              </w:rPr>
              <w:tab/>
            </w:r>
            <w:r>
              <w:rPr>
                <w:noProof/>
                <w:webHidden/>
              </w:rPr>
              <w:fldChar w:fldCharType="begin"/>
            </w:r>
            <w:r>
              <w:rPr>
                <w:noProof/>
                <w:webHidden/>
              </w:rPr>
              <w:instrText xml:space="preserve"> PAGEREF _Toc216425757 \h </w:instrText>
            </w:r>
            <w:r>
              <w:rPr>
                <w:noProof/>
                <w:webHidden/>
              </w:rPr>
            </w:r>
            <w:r>
              <w:rPr>
                <w:noProof/>
                <w:webHidden/>
              </w:rPr>
              <w:fldChar w:fldCharType="separate"/>
            </w:r>
            <w:r>
              <w:rPr>
                <w:noProof/>
                <w:webHidden/>
              </w:rPr>
              <w:t>7</w:t>
            </w:r>
            <w:r>
              <w:rPr>
                <w:noProof/>
                <w:webHidden/>
              </w:rPr>
              <w:fldChar w:fldCharType="end"/>
            </w:r>
          </w:hyperlink>
        </w:p>
        <w:p w14:paraId="4B129861" w14:textId="51A46688"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8" w:history="1">
            <w:r w:rsidRPr="00B80C39">
              <w:rPr>
                <w:rStyle w:val="Hyperlink"/>
                <w:noProof/>
              </w:rPr>
              <w:t>3.7</w:t>
            </w:r>
            <w:r>
              <w:rPr>
                <w:rFonts w:asciiTheme="minorHAnsi" w:eastAsiaTheme="minorEastAsia" w:hAnsiTheme="minorHAnsi" w:cstheme="minorBidi"/>
                <w:noProof/>
                <w:kern w:val="2"/>
                <w:lang w:eastAsia="de-CH"/>
                <w14:ligatures w14:val="standardContextual"/>
              </w:rPr>
              <w:tab/>
            </w:r>
            <w:r w:rsidRPr="00B80C39">
              <w:rPr>
                <w:rStyle w:val="Hyperlink"/>
                <w:noProof/>
              </w:rPr>
              <w:t>Wesentliche Feststellungen durch Dritte</w:t>
            </w:r>
            <w:r>
              <w:rPr>
                <w:noProof/>
                <w:webHidden/>
              </w:rPr>
              <w:tab/>
            </w:r>
            <w:r>
              <w:rPr>
                <w:noProof/>
                <w:webHidden/>
              </w:rPr>
              <w:fldChar w:fldCharType="begin"/>
            </w:r>
            <w:r>
              <w:rPr>
                <w:noProof/>
                <w:webHidden/>
              </w:rPr>
              <w:instrText xml:space="preserve"> PAGEREF _Toc216425758 \h </w:instrText>
            </w:r>
            <w:r>
              <w:rPr>
                <w:noProof/>
                <w:webHidden/>
              </w:rPr>
            </w:r>
            <w:r>
              <w:rPr>
                <w:noProof/>
                <w:webHidden/>
              </w:rPr>
              <w:fldChar w:fldCharType="separate"/>
            </w:r>
            <w:r>
              <w:rPr>
                <w:noProof/>
                <w:webHidden/>
              </w:rPr>
              <w:t>7</w:t>
            </w:r>
            <w:r>
              <w:rPr>
                <w:noProof/>
                <w:webHidden/>
              </w:rPr>
              <w:fldChar w:fldCharType="end"/>
            </w:r>
          </w:hyperlink>
        </w:p>
        <w:p w14:paraId="236C9AA1" w14:textId="770DB5E9"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59" w:history="1">
            <w:r w:rsidRPr="00B80C39">
              <w:rPr>
                <w:rStyle w:val="Hyperlink"/>
                <w:noProof/>
              </w:rPr>
              <w:t>3.8</w:t>
            </w:r>
            <w:r>
              <w:rPr>
                <w:rFonts w:asciiTheme="minorHAnsi" w:eastAsiaTheme="minorEastAsia" w:hAnsiTheme="minorHAnsi" w:cstheme="minorBidi"/>
                <w:noProof/>
                <w:kern w:val="2"/>
                <w:lang w:eastAsia="de-CH"/>
                <w14:ligatures w14:val="standardContextual"/>
              </w:rPr>
              <w:tab/>
            </w:r>
            <w:r w:rsidRPr="00B80C39">
              <w:rPr>
                <w:rStyle w:val="Hyperlink"/>
                <w:noProof/>
              </w:rPr>
              <w:t>Zusammenfassung zu weiteren Prüferkenntnissen sowie Gesamteinschätzung</w:t>
            </w:r>
            <w:r>
              <w:rPr>
                <w:noProof/>
                <w:webHidden/>
              </w:rPr>
              <w:tab/>
            </w:r>
            <w:r>
              <w:rPr>
                <w:noProof/>
                <w:webHidden/>
              </w:rPr>
              <w:fldChar w:fldCharType="begin"/>
            </w:r>
            <w:r>
              <w:rPr>
                <w:noProof/>
                <w:webHidden/>
              </w:rPr>
              <w:instrText xml:space="preserve"> PAGEREF _Toc216425759 \h </w:instrText>
            </w:r>
            <w:r>
              <w:rPr>
                <w:noProof/>
                <w:webHidden/>
              </w:rPr>
            </w:r>
            <w:r>
              <w:rPr>
                <w:noProof/>
                <w:webHidden/>
              </w:rPr>
              <w:fldChar w:fldCharType="separate"/>
            </w:r>
            <w:r>
              <w:rPr>
                <w:noProof/>
                <w:webHidden/>
              </w:rPr>
              <w:t>7</w:t>
            </w:r>
            <w:r>
              <w:rPr>
                <w:noProof/>
                <w:webHidden/>
              </w:rPr>
              <w:fldChar w:fldCharType="end"/>
            </w:r>
          </w:hyperlink>
        </w:p>
        <w:p w14:paraId="1874E0B7" w14:textId="3B341B79"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760" w:history="1">
            <w:r w:rsidRPr="00B80C39">
              <w:rPr>
                <w:rStyle w:val="Hyperlink"/>
              </w:rPr>
              <w:t>4.</w:t>
            </w:r>
            <w:r>
              <w:rPr>
                <w:rFonts w:asciiTheme="minorHAnsi" w:eastAsiaTheme="minorEastAsia" w:hAnsiTheme="minorHAnsi" w:cstheme="minorBidi"/>
                <w:b w:val="0"/>
                <w:bCs w:val="0"/>
                <w:kern w:val="2"/>
                <w:lang w:eastAsia="de-CH"/>
                <w14:ligatures w14:val="standardContextual"/>
              </w:rPr>
              <w:tab/>
            </w:r>
            <w:r w:rsidRPr="00B80C39">
              <w:rPr>
                <w:rStyle w:val="Hyperlink"/>
              </w:rPr>
              <w:t>Wesentliche Feststellungen ausserhalb der Aufsichtsprüfung</w:t>
            </w:r>
            <w:r>
              <w:rPr>
                <w:webHidden/>
              </w:rPr>
              <w:tab/>
            </w:r>
            <w:r>
              <w:rPr>
                <w:webHidden/>
              </w:rPr>
              <w:fldChar w:fldCharType="begin"/>
            </w:r>
            <w:r>
              <w:rPr>
                <w:webHidden/>
              </w:rPr>
              <w:instrText xml:space="preserve"> PAGEREF _Toc216425760 \h </w:instrText>
            </w:r>
            <w:r>
              <w:rPr>
                <w:webHidden/>
              </w:rPr>
            </w:r>
            <w:r>
              <w:rPr>
                <w:webHidden/>
              </w:rPr>
              <w:fldChar w:fldCharType="separate"/>
            </w:r>
            <w:r>
              <w:rPr>
                <w:webHidden/>
              </w:rPr>
              <w:t>8</w:t>
            </w:r>
            <w:r>
              <w:rPr>
                <w:webHidden/>
              </w:rPr>
              <w:fldChar w:fldCharType="end"/>
            </w:r>
          </w:hyperlink>
        </w:p>
        <w:p w14:paraId="56DD983B" w14:textId="2897D97F"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761" w:history="1">
            <w:r w:rsidRPr="00B80C39">
              <w:rPr>
                <w:rStyle w:val="Hyperlink"/>
              </w:rPr>
              <w:t>5.</w:t>
            </w:r>
            <w:r>
              <w:rPr>
                <w:rFonts w:asciiTheme="minorHAnsi" w:eastAsiaTheme="minorEastAsia" w:hAnsiTheme="minorHAnsi" w:cstheme="minorBidi"/>
                <w:b w:val="0"/>
                <w:bCs w:val="0"/>
                <w:kern w:val="2"/>
                <w:lang w:eastAsia="de-CH"/>
                <w14:ligatures w14:val="standardContextual"/>
              </w:rPr>
              <w:tab/>
            </w:r>
            <w:r w:rsidRPr="00B80C39">
              <w:rPr>
                <w:rStyle w:val="Hyperlink"/>
              </w:rPr>
              <w:t xml:space="preserve">Wichtige Informationen zu der geprüften </w:t>
            </w:r>
            <w:r w:rsidRPr="00B80C39">
              <w:rPr>
                <w:rStyle w:val="Hyperlink"/>
                <w:i/>
              </w:rPr>
              <w:t>Bank, bewilligten (gemischten) Finanzholdinggesellschaft und Gruppe</w:t>
            </w:r>
            <w:r w:rsidRPr="00B80C39">
              <w:rPr>
                <w:rStyle w:val="Hyperlink"/>
              </w:rPr>
              <w:t>/ Darstellung bedeutender Änderungen</w:t>
            </w:r>
            <w:r>
              <w:rPr>
                <w:webHidden/>
              </w:rPr>
              <w:tab/>
            </w:r>
            <w:r>
              <w:rPr>
                <w:webHidden/>
              </w:rPr>
              <w:fldChar w:fldCharType="begin"/>
            </w:r>
            <w:r>
              <w:rPr>
                <w:webHidden/>
              </w:rPr>
              <w:instrText xml:space="preserve"> PAGEREF _Toc216425761 \h </w:instrText>
            </w:r>
            <w:r>
              <w:rPr>
                <w:webHidden/>
              </w:rPr>
            </w:r>
            <w:r>
              <w:rPr>
                <w:webHidden/>
              </w:rPr>
              <w:fldChar w:fldCharType="separate"/>
            </w:r>
            <w:r>
              <w:rPr>
                <w:webHidden/>
              </w:rPr>
              <w:t>8</w:t>
            </w:r>
            <w:r>
              <w:rPr>
                <w:webHidden/>
              </w:rPr>
              <w:fldChar w:fldCharType="end"/>
            </w:r>
          </w:hyperlink>
        </w:p>
        <w:p w14:paraId="0E2601C7" w14:textId="115C54DA"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62" w:history="1">
            <w:r w:rsidRPr="00B80C39">
              <w:rPr>
                <w:rStyle w:val="Hyperlink"/>
                <w:noProof/>
              </w:rPr>
              <w:t>5.1</w:t>
            </w:r>
            <w:r>
              <w:rPr>
                <w:rFonts w:asciiTheme="minorHAnsi" w:eastAsiaTheme="minorEastAsia" w:hAnsiTheme="minorHAnsi" w:cstheme="minorBidi"/>
                <w:noProof/>
                <w:kern w:val="2"/>
                <w:lang w:eastAsia="de-CH"/>
                <w14:ligatures w14:val="standardContextual"/>
              </w:rPr>
              <w:tab/>
            </w:r>
            <w:r w:rsidRPr="00B80C39">
              <w:rPr>
                <w:rStyle w:val="Hyperlink"/>
                <w:noProof/>
              </w:rPr>
              <w:t>Geschäftstätigkeit und Kundenstruktur</w:t>
            </w:r>
            <w:r>
              <w:rPr>
                <w:noProof/>
                <w:webHidden/>
              </w:rPr>
              <w:tab/>
            </w:r>
            <w:r>
              <w:rPr>
                <w:noProof/>
                <w:webHidden/>
              </w:rPr>
              <w:fldChar w:fldCharType="begin"/>
            </w:r>
            <w:r>
              <w:rPr>
                <w:noProof/>
                <w:webHidden/>
              </w:rPr>
              <w:instrText xml:space="preserve"> PAGEREF _Toc216425762 \h </w:instrText>
            </w:r>
            <w:r>
              <w:rPr>
                <w:noProof/>
                <w:webHidden/>
              </w:rPr>
            </w:r>
            <w:r>
              <w:rPr>
                <w:noProof/>
                <w:webHidden/>
              </w:rPr>
              <w:fldChar w:fldCharType="separate"/>
            </w:r>
            <w:r>
              <w:rPr>
                <w:noProof/>
                <w:webHidden/>
              </w:rPr>
              <w:t>8</w:t>
            </w:r>
            <w:r>
              <w:rPr>
                <w:noProof/>
                <w:webHidden/>
              </w:rPr>
              <w:fldChar w:fldCharType="end"/>
            </w:r>
          </w:hyperlink>
        </w:p>
        <w:p w14:paraId="631EE9CF" w14:textId="2D9657FA"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63" w:history="1">
            <w:r w:rsidRPr="00B80C39">
              <w:rPr>
                <w:rStyle w:val="Hyperlink"/>
                <w:noProof/>
              </w:rPr>
              <w:t>5.2</w:t>
            </w:r>
            <w:r>
              <w:rPr>
                <w:rFonts w:asciiTheme="minorHAnsi" w:eastAsiaTheme="minorEastAsia" w:hAnsiTheme="minorHAnsi" w:cstheme="minorBidi"/>
                <w:noProof/>
                <w:kern w:val="2"/>
                <w:lang w:eastAsia="de-CH"/>
                <w14:ligatures w14:val="standardContextual"/>
              </w:rPr>
              <w:tab/>
            </w:r>
            <w:r w:rsidRPr="00B80C39">
              <w:rPr>
                <w:rStyle w:val="Hyperlink"/>
                <w:noProof/>
              </w:rPr>
              <w:t>Gruppenstruktur und Beteiligungsverhältnisse / Beziehungen zu anderen Unternehmen</w:t>
            </w:r>
            <w:r>
              <w:rPr>
                <w:noProof/>
                <w:webHidden/>
              </w:rPr>
              <w:tab/>
            </w:r>
            <w:r>
              <w:rPr>
                <w:noProof/>
                <w:webHidden/>
              </w:rPr>
              <w:fldChar w:fldCharType="begin"/>
            </w:r>
            <w:r>
              <w:rPr>
                <w:noProof/>
                <w:webHidden/>
              </w:rPr>
              <w:instrText xml:space="preserve"> PAGEREF _Toc216425763 \h </w:instrText>
            </w:r>
            <w:r>
              <w:rPr>
                <w:noProof/>
                <w:webHidden/>
              </w:rPr>
            </w:r>
            <w:r>
              <w:rPr>
                <w:noProof/>
                <w:webHidden/>
              </w:rPr>
              <w:fldChar w:fldCharType="separate"/>
            </w:r>
            <w:r>
              <w:rPr>
                <w:noProof/>
                <w:webHidden/>
              </w:rPr>
              <w:t>8</w:t>
            </w:r>
            <w:r>
              <w:rPr>
                <w:noProof/>
                <w:webHidden/>
              </w:rPr>
              <w:fldChar w:fldCharType="end"/>
            </w:r>
          </w:hyperlink>
        </w:p>
        <w:p w14:paraId="33FCA515" w14:textId="258CEFD6"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64" w:history="1">
            <w:r w:rsidRPr="00B80C39">
              <w:rPr>
                <w:rStyle w:val="Hyperlink"/>
                <w:noProof/>
              </w:rPr>
              <w:t>5.3</w:t>
            </w:r>
            <w:r>
              <w:rPr>
                <w:rFonts w:asciiTheme="minorHAnsi" w:eastAsiaTheme="minorEastAsia" w:hAnsiTheme="minorHAnsi" w:cstheme="minorBidi"/>
                <w:noProof/>
                <w:kern w:val="2"/>
                <w:lang w:eastAsia="de-CH"/>
                <w14:ligatures w14:val="standardContextual"/>
              </w:rPr>
              <w:tab/>
            </w:r>
            <w:r w:rsidRPr="00B80C39">
              <w:rPr>
                <w:rStyle w:val="Hyperlink"/>
                <w:noProof/>
              </w:rPr>
              <w:t>Betriebs- und Aufbauorganisation</w:t>
            </w:r>
            <w:r>
              <w:rPr>
                <w:noProof/>
                <w:webHidden/>
              </w:rPr>
              <w:tab/>
            </w:r>
            <w:r>
              <w:rPr>
                <w:noProof/>
                <w:webHidden/>
              </w:rPr>
              <w:fldChar w:fldCharType="begin"/>
            </w:r>
            <w:r>
              <w:rPr>
                <w:noProof/>
                <w:webHidden/>
              </w:rPr>
              <w:instrText xml:space="preserve"> PAGEREF _Toc216425764 \h </w:instrText>
            </w:r>
            <w:r>
              <w:rPr>
                <w:noProof/>
                <w:webHidden/>
              </w:rPr>
            </w:r>
            <w:r>
              <w:rPr>
                <w:noProof/>
                <w:webHidden/>
              </w:rPr>
              <w:fldChar w:fldCharType="separate"/>
            </w:r>
            <w:r>
              <w:rPr>
                <w:noProof/>
                <w:webHidden/>
              </w:rPr>
              <w:t>8</w:t>
            </w:r>
            <w:r>
              <w:rPr>
                <w:noProof/>
                <w:webHidden/>
              </w:rPr>
              <w:fldChar w:fldCharType="end"/>
            </w:r>
          </w:hyperlink>
        </w:p>
        <w:p w14:paraId="7E55EC45" w14:textId="7D183B51"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65" w:history="1">
            <w:r w:rsidRPr="00B80C39">
              <w:rPr>
                <w:rStyle w:val="Hyperlink"/>
                <w:noProof/>
              </w:rPr>
              <w:t>5.4</w:t>
            </w:r>
            <w:r>
              <w:rPr>
                <w:rFonts w:asciiTheme="minorHAnsi" w:eastAsiaTheme="minorEastAsia" w:hAnsiTheme="minorHAnsi" w:cstheme="minorBidi"/>
                <w:noProof/>
                <w:kern w:val="2"/>
                <w:lang w:eastAsia="de-CH"/>
                <w14:ligatures w14:val="standardContextual"/>
              </w:rPr>
              <w:tab/>
            </w:r>
            <w:r w:rsidRPr="00B80C39">
              <w:rPr>
                <w:rStyle w:val="Hyperlink"/>
                <w:noProof/>
              </w:rPr>
              <w:t xml:space="preserve">Wesentliche Änderungen bei der beaufsichtigten </w:t>
            </w:r>
            <w:r w:rsidRPr="00B80C39">
              <w:rPr>
                <w:rStyle w:val="Hyperlink"/>
                <w:i/>
                <w:noProof/>
              </w:rPr>
              <w:t>Bank, bewilligten (gemischten) Finanzholdinggesellschaft und Gruppe</w:t>
            </w:r>
            <w:r>
              <w:rPr>
                <w:noProof/>
                <w:webHidden/>
              </w:rPr>
              <w:tab/>
            </w:r>
            <w:r>
              <w:rPr>
                <w:noProof/>
                <w:webHidden/>
              </w:rPr>
              <w:fldChar w:fldCharType="begin"/>
            </w:r>
            <w:r>
              <w:rPr>
                <w:noProof/>
                <w:webHidden/>
              </w:rPr>
              <w:instrText xml:space="preserve"> PAGEREF _Toc216425765 \h </w:instrText>
            </w:r>
            <w:r>
              <w:rPr>
                <w:noProof/>
                <w:webHidden/>
              </w:rPr>
            </w:r>
            <w:r>
              <w:rPr>
                <w:noProof/>
                <w:webHidden/>
              </w:rPr>
              <w:fldChar w:fldCharType="separate"/>
            </w:r>
            <w:r>
              <w:rPr>
                <w:noProof/>
                <w:webHidden/>
              </w:rPr>
              <w:t>9</w:t>
            </w:r>
            <w:r>
              <w:rPr>
                <w:noProof/>
                <w:webHidden/>
              </w:rPr>
              <w:fldChar w:fldCharType="end"/>
            </w:r>
          </w:hyperlink>
        </w:p>
        <w:p w14:paraId="41560482" w14:textId="4E5BC441"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766" w:history="1">
            <w:r w:rsidRPr="00B80C39">
              <w:rPr>
                <w:rStyle w:val="Hyperlink"/>
              </w:rPr>
              <w:t>6.</w:t>
            </w:r>
            <w:r>
              <w:rPr>
                <w:rFonts w:asciiTheme="minorHAnsi" w:eastAsiaTheme="minorEastAsia" w:hAnsiTheme="minorHAnsi" w:cstheme="minorBidi"/>
                <w:b w:val="0"/>
                <w:bCs w:val="0"/>
                <w:kern w:val="2"/>
                <w:lang w:eastAsia="de-CH"/>
                <w14:ligatures w14:val="standardContextual"/>
              </w:rPr>
              <w:tab/>
            </w:r>
            <w:r w:rsidRPr="00B80C39">
              <w:rPr>
                <w:rStyle w:val="Hyperlink"/>
              </w:rPr>
              <w:t>Prüfresultate</w:t>
            </w:r>
            <w:r>
              <w:rPr>
                <w:webHidden/>
              </w:rPr>
              <w:tab/>
            </w:r>
            <w:r>
              <w:rPr>
                <w:webHidden/>
              </w:rPr>
              <w:fldChar w:fldCharType="begin"/>
            </w:r>
            <w:r>
              <w:rPr>
                <w:webHidden/>
              </w:rPr>
              <w:instrText xml:space="preserve"> PAGEREF _Toc216425766 \h </w:instrText>
            </w:r>
            <w:r>
              <w:rPr>
                <w:webHidden/>
              </w:rPr>
            </w:r>
            <w:r>
              <w:rPr>
                <w:webHidden/>
              </w:rPr>
              <w:fldChar w:fldCharType="separate"/>
            </w:r>
            <w:r>
              <w:rPr>
                <w:webHidden/>
              </w:rPr>
              <w:t>9</w:t>
            </w:r>
            <w:r>
              <w:rPr>
                <w:webHidden/>
              </w:rPr>
              <w:fldChar w:fldCharType="end"/>
            </w:r>
          </w:hyperlink>
        </w:p>
        <w:p w14:paraId="1BF7C95E" w14:textId="4D83DE10"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767" w:history="1">
            <w:r w:rsidRPr="00B80C39">
              <w:rPr>
                <w:rStyle w:val="Hyperlink"/>
                <w:noProof/>
              </w:rPr>
              <w:t>6.1</w:t>
            </w:r>
            <w:r>
              <w:rPr>
                <w:rFonts w:asciiTheme="minorHAnsi" w:eastAsiaTheme="minorEastAsia" w:hAnsiTheme="minorHAnsi" w:cstheme="minorBidi"/>
                <w:noProof/>
                <w:kern w:val="2"/>
                <w:lang w:eastAsia="de-CH"/>
                <w14:ligatures w14:val="standardContextual"/>
              </w:rPr>
              <w:tab/>
            </w:r>
            <w:r w:rsidRPr="00B80C39">
              <w:rPr>
                <w:rStyle w:val="Hyperlink"/>
                <w:noProof/>
              </w:rPr>
              <w:t>Geschäftsrisiken</w:t>
            </w:r>
            <w:r>
              <w:rPr>
                <w:noProof/>
                <w:webHidden/>
              </w:rPr>
              <w:tab/>
            </w:r>
            <w:r>
              <w:rPr>
                <w:noProof/>
                <w:webHidden/>
              </w:rPr>
              <w:fldChar w:fldCharType="begin"/>
            </w:r>
            <w:r>
              <w:rPr>
                <w:noProof/>
                <w:webHidden/>
              </w:rPr>
              <w:instrText xml:space="preserve"> PAGEREF _Toc216425767 \h </w:instrText>
            </w:r>
            <w:r>
              <w:rPr>
                <w:noProof/>
                <w:webHidden/>
              </w:rPr>
            </w:r>
            <w:r>
              <w:rPr>
                <w:noProof/>
                <w:webHidden/>
              </w:rPr>
              <w:fldChar w:fldCharType="separate"/>
            </w:r>
            <w:r>
              <w:rPr>
                <w:noProof/>
                <w:webHidden/>
              </w:rPr>
              <w:t>11</w:t>
            </w:r>
            <w:r>
              <w:rPr>
                <w:noProof/>
                <w:webHidden/>
              </w:rPr>
              <w:fldChar w:fldCharType="end"/>
            </w:r>
          </w:hyperlink>
        </w:p>
        <w:p w14:paraId="0BF4E255" w14:textId="0E64933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68" w:history="1">
            <w:r w:rsidRPr="00B80C39">
              <w:rPr>
                <w:rStyle w:val="Hyperlink"/>
                <w:noProof/>
                <w:lang w:val="x-none" w:eastAsia="x-none" w:bidi="x-none"/>
              </w:rPr>
              <w:t>6.1.1</w:t>
            </w:r>
            <w:r>
              <w:rPr>
                <w:rFonts w:asciiTheme="minorHAnsi" w:eastAsiaTheme="minorEastAsia" w:hAnsiTheme="minorHAnsi" w:cstheme="minorBidi"/>
                <w:noProof/>
                <w:kern w:val="2"/>
                <w:lang w:eastAsia="de-CH"/>
                <w14:ligatures w14:val="standardContextual"/>
              </w:rPr>
              <w:tab/>
            </w:r>
            <w:r w:rsidRPr="00B80C39">
              <w:rPr>
                <w:rStyle w:val="Hyperlink"/>
                <w:noProof/>
              </w:rPr>
              <w:t>Kreditrisiken / Gegenparteiausfallrisiken aus Interbankgeschäften (GR-1)</w:t>
            </w:r>
            <w:r>
              <w:rPr>
                <w:noProof/>
                <w:webHidden/>
              </w:rPr>
              <w:tab/>
            </w:r>
            <w:r>
              <w:rPr>
                <w:noProof/>
                <w:webHidden/>
              </w:rPr>
              <w:fldChar w:fldCharType="begin"/>
            </w:r>
            <w:r>
              <w:rPr>
                <w:noProof/>
                <w:webHidden/>
              </w:rPr>
              <w:instrText xml:space="preserve"> PAGEREF _Toc216425768 \h </w:instrText>
            </w:r>
            <w:r>
              <w:rPr>
                <w:noProof/>
                <w:webHidden/>
              </w:rPr>
            </w:r>
            <w:r>
              <w:rPr>
                <w:noProof/>
                <w:webHidden/>
              </w:rPr>
              <w:fldChar w:fldCharType="separate"/>
            </w:r>
            <w:r>
              <w:rPr>
                <w:noProof/>
                <w:webHidden/>
              </w:rPr>
              <w:t>11</w:t>
            </w:r>
            <w:r>
              <w:rPr>
                <w:noProof/>
                <w:webHidden/>
              </w:rPr>
              <w:fldChar w:fldCharType="end"/>
            </w:r>
          </w:hyperlink>
        </w:p>
        <w:p w14:paraId="4C9B9FC9" w14:textId="5CCCC289"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69" w:history="1">
            <w:r w:rsidRPr="00B80C39">
              <w:rPr>
                <w:rStyle w:val="Hyperlink"/>
                <w:noProof/>
                <w:lang w:val="x-none" w:eastAsia="x-none" w:bidi="x-none"/>
              </w:rPr>
              <w:t>6.1.2</w:t>
            </w:r>
            <w:r>
              <w:rPr>
                <w:rFonts w:asciiTheme="minorHAnsi" w:eastAsiaTheme="minorEastAsia" w:hAnsiTheme="minorHAnsi" w:cstheme="minorBidi"/>
                <w:noProof/>
                <w:kern w:val="2"/>
                <w:lang w:eastAsia="de-CH"/>
                <w14:ligatures w14:val="standardContextual"/>
              </w:rPr>
              <w:tab/>
            </w:r>
            <w:r w:rsidRPr="00B80C39">
              <w:rPr>
                <w:rStyle w:val="Hyperlink"/>
                <w:noProof/>
              </w:rPr>
              <w:t>Kreditrisiken / Gegenparteiausfallrisiken aus Hypothekargeschäften (GR-2)</w:t>
            </w:r>
            <w:r>
              <w:rPr>
                <w:noProof/>
                <w:webHidden/>
              </w:rPr>
              <w:tab/>
            </w:r>
            <w:r>
              <w:rPr>
                <w:noProof/>
                <w:webHidden/>
              </w:rPr>
              <w:fldChar w:fldCharType="begin"/>
            </w:r>
            <w:r>
              <w:rPr>
                <w:noProof/>
                <w:webHidden/>
              </w:rPr>
              <w:instrText xml:space="preserve"> PAGEREF _Toc216425769 \h </w:instrText>
            </w:r>
            <w:r>
              <w:rPr>
                <w:noProof/>
                <w:webHidden/>
              </w:rPr>
            </w:r>
            <w:r>
              <w:rPr>
                <w:noProof/>
                <w:webHidden/>
              </w:rPr>
              <w:fldChar w:fldCharType="separate"/>
            </w:r>
            <w:r>
              <w:rPr>
                <w:noProof/>
                <w:webHidden/>
              </w:rPr>
              <w:t>12</w:t>
            </w:r>
            <w:r>
              <w:rPr>
                <w:noProof/>
                <w:webHidden/>
              </w:rPr>
              <w:fldChar w:fldCharType="end"/>
            </w:r>
          </w:hyperlink>
        </w:p>
        <w:p w14:paraId="094DB1BF" w14:textId="3049E59D"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0" w:history="1">
            <w:r w:rsidRPr="00B80C39">
              <w:rPr>
                <w:rStyle w:val="Hyperlink"/>
                <w:noProof/>
                <w:lang w:val="x-none" w:eastAsia="x-none" w:bidi="x-none"/>
              </w:rPr>
              <w:t>6.1.3</w:t>
            </w:r>
            <w:r>
              <w:rPr>
                <w:rFonts w:asciiTheme="minorHAnsi" w:eastAsiaTheme="minorEastAsia" w:hAnsiTheme="minorHAnsi" w:cstheme="minorBidi"/>
                <w:noProof/>
                <w:kern w:val="2"/>
                <w:lang w:eastAsia="de-CH"/>
                <w14:ligatures w14:val="standardContextual"/>
              </w:rPr>
              <w:tab/>
            </w:r>
            <w:r w:rsidRPr="00B80C39">
              <w:rPr>
                <w:rStyle w:val="Hyperlink"/>
                <w:noProof/>
              </w:rPr>
              <w:t xml:space="preserve">Kreditrisiken / Gegenparteiausfallrisiken aus kommerziellen Kreditgeschäften </w:t>
            </w:r>
            <w:r w:rsidRPr="00B80C39">
              <w:rPr>
                <w:rStyle w:val="Hyperlink"/>
                <w:noProof/>
                <w:highlight w:val="yellow"/>
              </w:rPr>
              <w:t xml:space="preserve">inkl. Trade Finance </w:t>
            </w:r>
            <w:r w:rsidRPr="00B80C39">
              <w:rPr>
                <w:rStyle w:val="Hyperlink"/>
                <w:noProof/>
              </w:rPr>
              <w:t>(GR-3)</w:t>
            </w:r>
            <w:r>
              <w:rPr>
                <w:noProof/>
                <w:webHidden/>
              </w:rPr>
              <w:tab/>
            </w:r>
            <w:r>
              <w:rPr>
                <w:noProof/>
                <w:webHidden/>
              </w:rPr>
              <w:fldChar w:fldCharType="begin"/>
            </w:r>
            <w:r>
              <w:rPr>
                <w:noProof/>
                <w:webHidden/>
              </w:rPr>
              <w:instrText xml:space="preserve"> PAGEREF _Toc216425770 \h </w:instrText>
            </w:r>
            <w:r>
              <w:rPr>
                <w:noProof/>
                <w:webHidden/>
              </w:rPr>
            </w:r>
            <w:r>
              <w:rPr>
                <w:noProof/>
                <w:webHidden/>
              </w:rPr>
              <w:fldChar w:fldCharType="separate"/>
            </w:r>
            <w:r>
              <w:rPr>
                <w:noProof/>
                <w:webHidden/>
              </w:rPr>
              <w:t>13</w:t>
            </w:r>
            <w:r>
              <w:rPr>
                <w:noProof/>
                <w:webHidden/>
              </w:rPr>
              <w:fldChar w:fldCharType="end"/>
            </w:r>
          </w:hyperlink>
        </w:p>
        <w:p w14:paraId="04A8AA0F" w14:textId="2E0C0EF5"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1" w:history="1">
            <w:r w:rsidRPr="00B80C39">
              <w:rPr>
                <w:rStyle w:val="Hyperlink"/>
                <w:noProof/>
                <w:lang w:val="x-none" w:eastAsia="x-none" w:bidi="x-none"/>
              </w:rPr>
              <w:t>6.1.4</w:t>
            </w:r>
            <w:r>
              <w:rPr>
                <w:rFonts w:asciiTheme="minorHAnsi" w:eastAsiaTheme="minorEastAsia" w:hAnsiTheme="minorHAnsi" w:cstheme="minorBidi"/>
                <w:noProof/>
                <w:kern w:val="2"/>
                <w:lang w:eastAsia="de-CH"/>
                <w14:ligatures w14:val="standardContextual"/>
              </w:rPr>
              <w:tab/>
            </w:r>
            <w:r w:rsidRPr="00B80C39">
              <w:rPr>
                <w:rStyle w:val="Hyperlink"/>
                <w:noProof/>
              </w:rPr>
              <w:t>Kreditrisiken / Gegenparteiausfallrisiken aus Lombardkreditgeschäften (GR-4)</w:t>
            </w:r>
            <w:r>
              <w:rPr>
                <w:noProof/>
                <w:webHidden/>
              </w:rPr>
              <w:tab/>
            </w:r>
            <w:r>
              <w:rPr>
                <w:noProof/>
                <w:webHidden/>
              </w:rPr>
              <w:fldChar w:fldCharType="begin"/>
            </w:r>
            <w:r>
              <w:rPr>
                <w:noProof/>
                <w:webHidden/>
              </w:rPr>
              <w:instrText xml:space="preserve"> PAGEREF _Toc216425771 \h </w:instrText>
            </w:r>
            <w:r>
              <w:rPr>
                <w:noProof/>
                <w:webHidden/>
              </w:rPr>
            </w:r>
            <w:r>
              <w:rPr>
                <w:noProof/>
                <w:webHidden/>
              </w:rPr>
              <w:fldChar w:fldCharType="separate"/>
            </w:r>
            <w:r>
              <w:rPr>
                <w:noProof/>
                <w:webHidden/>
              </w:rPr>
              <w:t>14</w:t>
            </w:r>
            <w:r>
              <w:rPr>
                <w:noProof/>
                <w:webHidden/>
              </w:rPr>
              <w:fldChar w:fldCharType="end"/>
            </w:r>
          </w:hyperlink>
        </w:p>
        <w:p w14:paraId="5590A15E" w14:textId="556A3483"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2" w:history="1">
            <w:r w:rsidRPr="00B80C39">
              <w:rPr>
                <w:rStyle w:val="Hyperlink"/>
                <w:noProof/>
                <w:lang w:val="x-none" w:eastAsia="x-none" w:bidi="x-none"/>
              </w:rPr>
              <w:t>6.1.5</w:t>
            </w:r>
            <w:r>
              <w:rPr>
                <w:rFonts w:asciiTheme="minorHAnsi" w:eastAsiaTheme="minorEastAsia" w:hAnsiTheme="minorHAnsi" w:cstheme="minorBidi"/>
                <w:noProof/>
                <w:kern w:val="2"/>
                <w:lang w:eastAsia="de-CH"/>
                <w14:ligatures w14:val="standardContextual"/>
              </w:rPr>
              <w:tab/>
            </w:r>
            <w:r w:rsidRPr="00B80C39">
              <w:rPr>
                <w:rStyle w:val="Hyperlink"/>
                <w:noProof/>
              </w:rPr>
              <w:t xml:space="preserve">Kreditrisiken / Gegenparteiausfallrisiken aus </w:t>
            </w:r>
            <w:r w:rsidRPr="00B80C39">
              <w:rPr>
                <w:rStyle w:val="Hyperlink"/>
                <w:noProof/>
                <w:highlight w:val="yellow"/>
              </w:rPr>
              <w:t>Konsumkrediten und anderen unbesicherten Krediten</w:t>
            </w:r>
            <w:r w:rsidRPr="00B80C39">
              <w:rPr>
                <w:rStyle w:val="Hyperlink"/>
                <w:noProof/>
              </w:rPr>
              <w:t xml:space="preserve"> (GR-5)</w:t>
            </w:r>
            <w:r>
              <w:rPr>
                <w:noProof/>
                <w:webHidden/>
              </w:rPr>
              <w:tab/>
            </w:r>
            <w:r>
              <w:rPr>
                <w:noProof/>
                <w:webHidden/>
              </w:rPr>
              <w:fldChar w:fldCharType="begin"/>
            </w:r>
            <w:r>
              <w:rPr>
                <w:noProof/>
                <w:webHidden/>
              </w:rPr>
              <w:instrText xml:space="preserve"> PAGEREF _Toc216425772 \h </w:instrText>
            </w:r>
            <w:r>
              <w:rPr>
                <w:noProof/>
                <w:webHidden/>
              </w:rPr>
            </w:r>
            <w:r>
              <w:rPr>
                <w:noProof/>
                <w:webHidden/>
              </w:rPr>
              <w:fldChar w:fldCharType="separate"/>
            </w:r>
            <w:r>
              <w:rPr>
                <w:noProof/>
                <w:webHidden/>
              </w:rPr>
              <w:t>15</w:t>
            </w:r>
            <w:r>
              <w:rPr>
                <w:noProof/>
                <w:webHidden/>
              </w:rPr>
              <w:fldChar w:fldCharType="end"/>
            </w:r>
          </w:hyperlink>
        </w:p>
        <w:p w14:paraId="288B7B86" w14:textId="103D0AB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3" w:history="1">
            <w:r w:rsidRPr="00B80C39">
              <w:rPr>
                <w:rStyle w:val="Hyperlink"/>
                <w:noProof/>
                <w:lang w:val="x-none" w:eastAsia="x-none" w:bidi="x-none"/>
              </w:rPr>
              <w:t>6.1.6</w:t>
            </w:r>
            <w:r>
              <w:rPr>
                <w:rFonts w:asciiTheme="minorHAnsi" w:eastAsiaTheme="minorEastAsia" w:hAnsiTheme="minorHAnsi" w:cstheme="minorBidi"/>
                <w:noProof/>
                <w:kern w:val="2"/>
                <w:lang w:eastAsia="de-CH"/>
                <w14:ligatures w14:val="standardContextual"/>
              </w:rPr>
              <w:tab/>
            </w:r>
            <w:r w:rsidRPr="00B80C39">
              <w:rPr>
                <w:rStyle w:val="Hyperlink"/>
                <w:noProof/>
              </w:rPr>
              <w:t>Kreditrisiken / Gegenparteiausfallrisiken aus Derivattransaktionen (GR-6)</w:t>
            </w:r>
            <w:r>
              <w:rPr>
                <w:noProof/>
                <w:webHidden/>
              </w:rPr>
              <w:tab/>
            </w:r>
            <w:r>
              <w:rPr>
                <w:noProof/>
                <w:webHidden/>
              </w:rPr>
              <w:fldChar w:fldCharType="begin"/>
            </w:r>
            <w:r>
              <w:rPr>
                <w:noProof/>
                <w:webHidden/>
              </w:rPr>
              <w:instrText xml:space="preserve"> PAGEREF _Toc216425773 \h </w:instrText>
            </w:r>
            <w:r>
              <w:rPr>
                <w:noProof/>
                <w:webHidden/>
              </w:rPr>
            </w:r>
            <w:r>
              <w:rPr>
                <w:noProof/>
                <w:webHidden/>
              </w:rPr>
              <w:fldChar w:fldCharType="separate"/>
            </w:r>
            <w:r>
              <w:rPr>
                <w:noProof/>
                <w:webHidden/>
              </w:rPr>
              <w:t>17</w:t>
            </w:r>
            <w:r>
              <w:rPr>
                <w:noProof/>
                <w:webHidden/>
              </w:rPr>
              <w:fldChar w:fldCharType="end"/>
            </w:r>
          </w:hyperlink>
        </w:p>
        <w:p w14:paraId="0A0E9E7F" w14:textId="5EDFD428"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4" w:history="1">
            <w:r w:rsidRPr="00B80C39">
              <w:rPr>
                <w:rStyle w:val="Hyperlink"/>
                <w:noProof/>
                <w:lang w:val="x-none" w:eastAsia="x-none" w:bidi="x-none"/>
              </w:rPr>
              <w:t>6.1.7</w:t>
            </w:r>
            <w:r>
              <w:rPr>
                <w:rFonts w:asciiTheme="minorHAnsi" w:eastAsiaTheme="minorEastAsia" w:hAnsiTheme="minorHAnsi" w:cstheme="minorBidi"/>
                <w:noProof/>
                <w:kern w:val="2"/>
                <w:lang w:eastAsia="de-CH"/>
                <w14:ligatures w14:val="standardContextual"/>
              </w:rPr>
              <w:tab/>
            </w:r>
            <w:r w:rsidRPr="00B80C39">
              <w:rPr>
                <w:rStyle w:val="Hyperlink"/>
                <w:noProof/>
              </w:rPr>
              <w:t>Kreditrisiken / Gegenparteiausfallrisiken aus Abwicklungs- und Lieferrisiken (GR-7)</w:t>
            </w:r>
            <w:r>
              <w:rPr>
                <w:noProof/>
                <w:webHidden/>
              </w:rPr>
              <w:tab/>
            </w:r>
            <w:r>
              <w:rPr>
                <w:noProof/>
                <w:webHidden/>
              </w:rPr>
              <w:fldChar w:fldCharType="begin"/>
            </w:r>
            <w:r>
              <w:rPr>
                <w:noProof/>
                <w:webHidden/>
              </w:rPr>
              <w:instrText xml:space="preserve"> PAGEREF _Toc216425774 \h </w:instrText>
            </w:r>
            <w:r>
              <w:rPr>
                <w:noProof/>
                <w:webHidden/>
              </w:rPr>
            </w:r>
            <w:r>
              <w:rPr>
                <w:noProof/>
                <w:webHidden/>
              </w:rPr>
              <w:fldChar w:fldCharType="separate"/>
            </w:r>
            <w:r>
              <w:rPr>
                <w:noProof/>
                <w:webHidden/>
              </w:rPr>
              <w:t>18</w:t>
            </w:r>
            <w:r>
              <w:rPr>
                <w:noProof/>
                <w:webHidden/>
              </w:rPr>
              <w:fldChar w:fldCharType="end"/>
            </w:r>
          </w:hyperlink>
        </w:p>
        <w:p w14:paraId="6DE3274E" w14:textId="2A80A96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5" w:history="1">
            <w:r w:rsidRPr="00B80C39">
              <w:rPr>
                <w:rStyle w:val="Hyperlink"/>
                <w:noProof/>
                <w:highlight w:val="yellow"/>
                <w:lang w:val="x-none" w:eastAsia="x-none" w:bidi="x-none"/>
              </w:rPr>
              <w:t>6.1.8</w:t>
            </w:r>
            <w:r>
              <w:rPr>
                <w:rFonts w:asciiTheme="minorHAnsi" w:eastAsiaTheme="minorEastAsia" w:hAnsiTheme="minorHAnsi" w:cstheme="minorBidi"/>
                <w:noProof/>
                <w:kern w:val="2"/>
                <w:lang w:eastAsia="de-CH"/>
                <w14:ligatures w14:val="standardContextual"/>
              </w:rPr>
              <w:tab/>
            </w:r>
            <w:r w:rsidRPr="00B80C39">
              <w:rPr>
                <w:rStyle w:val="Hyperlink"/>
                <w:noProof/>
                <w:highlight w:val="yellow"/>
              </w:rPr>
              <w:t xml:space="preserve">[Weitere Kreditrisiken von der </w:t>
            </w:r>
            <w:r w:rsidRPr="00B80C39">
              <w:rPr>
                <w:rStyle w:val="Hyperlink"/>
                <w:i/>
                <w:noProof/>
                <w:highlight w:val="lightGray"/>
              </w:rPr>
              <w:t>Revisionsstelle</w:t>
            </w:r>
            <w:r w:rsidRPr="00B80C39">
              <w:rPr>
                <w:rStyle w:val="Hyperlink"/>
                <w:noProof/>
                <w:highlight w:val="yellow"/>
              </w:rPr>
              <w:t xml:space="preserve"> zu definieren] (GR-8)</w:t>
            </w:r>
            <w:r>
              <w:rPr>
                <w:noProof/>
                <w:webHidden/>
              </w:rPr>
              <w:tab/>
            </w:r>
            <w:r>
              <w:rPr>
                <w:noProof/>
                <w:webHidden/>
              </w:rPr>
              <w:fldChar w:fldCharType="begin"/>
            </w:r>
            <w:r>
              <w:rPr>
                <w:noProof/>
                <w:webHidden/>
              </w:rPr>
              <w:instrText xml:space="preserve"> PAGEREF _Toc216425775 \h </w:instrText>
            </w:r>
            <w:r>
              <w:rPr>
                <w:noProof/>
                <w:webHidden/>
              </w:rPr>
            </w:r>
            <w:r>
              <w:rPr>
                <w:noProof/>
                <w:webHidden/>
              </w:rPr>
              <w:fldChar w:fldCharType="separate"/>
            </w:r>
            <w:r>
              <w:rPr>
                <w:noProof/>
                <w:webHidden/>
              </w:rPr>
              <w:t>19</w:t>
            </w:r>
            <w:r>
              <w:rPr>
                <w:noProof/>
                <w:webHidden/>
              </w:rPr>
              <w:fldChar w:fldCharType="end"/>
            </w:r>
          </w:hyperlink>
        </w:p>
        <w:p w14:paraId="3E67CBE1" w14:textId="3F4CDDE6"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6" w:history="1">
            <w:r w:rsidRPr="00B80C39">
              <w:rPr>
                <w:rStyle w:val="Hyperlink"/>
                <w:noProof/>
                <w:lang w:val="x-none" w:eastAsia="x-none" w:bidi="x-none"/>
              </w:rPr>
              <w:t>6.1.9</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Handel von Finanzinstrumenten auf eigene Rechnung (GR-9)</w:t>
            </w:r>
            <w:r>
              <w:rPr>
                <w:noProof/>
                <w:webHidden/>
              </w:rPr>
              <w:tab/>
            </w:r>
            <w:r>
              <w:rPr>
                <w:noProof/>
                <w:webHidden/>
              </w:rPr>
              <w:fldChar w:fldCharType="begin"/>
            </w:r>
            <w:r>
              <w:rPr>
                <w:noProof/>
                <w:webHidden/>
              </w:rPr>
              <w:instrText xml:space="preserve"> PAGEREF _Toc216425776 \h </w:instrText>
            </w:r>
            <w:r>
              <w:rPr>
                <w:noProof/>
                <w:webHidden/>
              </w:rPr>
            </w:r>
            <w:r>
              <w:rPr>
                <w:noProof/>
                <w:webHidden/>
              </w:rPr>
              <w:fldChar w:fldCharType="separate"/>
            </w:r>
            <w:r>
              <w:rPr>
                <w:noProof/>
                <w:webHidden/>
              </w:rPr>
              <w:t>20</w:t>
            </w:r>
            <w:r>
              <w:rPr>
                <w:noProof/>
                <w:webHidden/>
              </w:rPr>
              <w:fldChar w:fldCharType="end"/>
            </w:r>
          </w:hyperlink>
        </w:p>
        <w:p w14:paraId="2F0549FC" w14:textId="56FA44A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7" w:history="1">
            <w:r w:rsidRPr="00B80C39">
              <w:rPr>
                <w:rStyle w:val="Hyperlink"/>
                <w:noProof/>
                <w:lang w:val="x-none" w:eastAsia="x-none" w:bidi="x-none"/>
              </w:rPr>
              <w:t>6.1.10</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Zinsänderungsrisiken (Bankenbuch) (GR-10)</w:t>
            </w:r>
            <w:r>
              <w:rPr>
                <w:noProof/>
                <w:webHidden/>
              </w:rPr>
              <w:tab/>
            </w:r>
            <w:r>
              <w:rPr>
                <w:noProof/>
                <w:webHidden/>
              </w:rPr>
              <w:fldChar w:fldCharType="begin"/>
            </w:r>
            <w:r>
              <w:rPr>
                <w:noProof/>
                <w:webHidden/>
              </w:rPr>
              <w:instrText xml:space="preserve"> PAGEREF _Toc216425777 \h </w:instrText>
            </w:r>
            <w:r>
              <w:rPr>
                <w:noProof/>
                <w:webHidden/>
              </w:rPr>
            </w:r>
            <w:r>
              <w:rPr>
                <w:noProof/>
                <w:webHidden/>
              </w:rPr>
              <w:fldChar w:fldCharType="separate"/>
            </w:r>
            <w:r>
              <w:rPr>
                <w:noProof/>
                <w:webHidden/>
              </w:rPr>
              <w:t>21</w:t>
            </w:r>
            <w:r>
              <w:rPr>
                <w:noProof/>
                <w:webHidden/>
              </w:rPr>
              <w:fldChar w:fldCharType="end"/>
            </w:r>
          </w:hyperlink>
        </w:p>
        <w:p w14:paraId="78F41AD1" w14:textId="0D7B513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8" w:history="1">
            <w:r w:rsidRPr="00B80C39">
              <w:rPr>
                <w:rStyle w:val="Hyperlink"/>
                <w:noProof/>
                <w:lang w:val="x-none" w:eastAsia="x-none" w:bidi="x-none"/>
              </w:rPr>
              <w:t>6.1.11</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Zinsänderungsrisiken (Handelsbuch) (GR-11)</w:t>
            </w:r>
            <w:r>
              <w:rPr>
                <w:noProof/>
                <w:webHidden/>
              </w:rPr>
              <w:tab/>
            </w:r>
            <w:r>
              <w:rPr>
                <w:noProof/>
                <w:webHidden/>
              </w:rPr>
              <w:fldChar w:fldCharType="begin"/>
            </w:r>
            <w:r>
              <w:rPr>
                <w:noProof/>
                <w:webHidden/>
              </w:rPr>
              <w:instrText xml:space="preserve"> PAGEREF _Toc216425778 \h </w:instrText>
            </w:r>
            <w:r>
              <w:rPr>
                <w:noProof/>
                <w:webHidden/>
              </w:rPr>
            </w:r>
            <w:r>
              <w:rPr>
                <w:noProof/>
                <w:webHidden/>
              </w:rPr>
              <w:fldChar w:fldCharType="separate"/>
            </w:r>
            <w:r>
              <w:rPr>
                <w:noProof/>
                <w:webHidden/>
              </w:rPr>
              <w:t>22</w:t>
            </w:r>
            <w:r>
              <w:rPr>
                <w:noProof/>
                <w:webHidden/>
              </w:rPr>
              <w:fldChar w:fldCharType="end"/>
            </w:r>
          </w:hyperlink>
        </w:p>
        <w:p w14:paraId="47B5AEB3" w14:textId="1E4A72B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79" w:history="1">
            <w:r w:rsidRPr="00B80C39">
              <w:rPr>
                <w:rStyle w:val="Hyperlink"/>
                <w:noProof/>
                <w:lang w:val="x-none" w:eastAsia="x-none" w:bidi="x-none"/>
              </w:rPr>
              <w:t>6.1.12</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Preisänderungsrisiken (insb. Wertpapiere und Beteiligungen, Rohstoffe, Edelmetalle, virtuelle Währungen) (GR-12)</w:t>
            </w:r>
            <w:r>
              <w:rPr>
                <w:noProof/>
                <w:webHidden/>
              </w:rPr>
              <w:tab/>
            </w:r>
            <w:r>
              <w:rPr>
                <w:noProof/>
                <w:webHidden/>
              </w:rPr>
              <w:fldChar w:fldCharType="begin"/>
            </w:r>
            <w:r>
              <w:rPr>
                <w:noProof/>
                <w:webHidden/>
              </w:rPr>
              <w:instrText xml:space="preserve"> PAGEREF _Toc216425779 \h </w:instrText>
            </w:r>
            <w:r>
              <w:rPr>
                <w:noProof/>
                <w:webHidden/>
              </w:rPr>
            </w:r>
            <w:r>
              <w:rPr>
                <w:noProof/>
                <w:webHidden/>
              </w:rPr>
              <w:fldChar w:fldCharType="separate"/>
            </w:r>
            <w:r>
              <w:rPr>
                <w:noProof/>
                <w:webHidden/>
              </w:rPr>
              <w:t>23</w:t>
            </w:r>
            <w:r>
              <w:rPr>
                <w:noProof/>
                <w:webHidden/>
              </w:rPr>
              <w:fldChar w:fldCharType="end"/>
            </w:r>
          </w:hyperlink>
        </w:p>
        <w:p w14:paraId="1FFBDCB9" w14:textId="4FED10F9"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0" w:history="1">
            <w:r w:rsidRPr="00B80C39">
              <w:rPr>
                <w:rStyle w:val="Hyperlink"/>
                <w:noProof/>
                <w:lang w:val="x-none" w:eastAsia="x-none" w:bidi="x-none"/>
              </w:rPr>
              <w:t>6.1.13</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Wechselkursrisiken (GR-13)</w:t>
            </w:r>
            <w:r>
              <w:rPr>
                <w:noProof/>
                <w:webHidden/>
              </w:rPr>
              <w:tab/>
            </w:r>
            <w:r>
              <w:rPr>
                <w:noProof/>
                <w:webHidden/>
              </w:rPr>
              <w:fldChar w:fldCharType="begin"/>
            </w:r>
            <w:r>
              <w:rPr>
                <w:noProof/>
                <w:webHidden/>
              </w:rPr>
              <w:instrText xml:space="preserve"> PAGEREF _Toc216425780 \h </w:instrText>
            </w:r>
            <w:r>
              <w:rPr>
                <w:noProof/>
                <w:webHidden/>
              </w:rPr>
            </w:r>
            <w:r>
              <w:rPr>
                <w:noProof/>
                <w:webHidden/>
              </w:rPr>
              <w:fldChar w:fldCharType="separate"/>
            </w:r>
            <w:r>
              <w:rPr>
                <w:noProof/>
                <w:webHidden/>
              </w:rPr>
              <w:t>25</w:t>
            </w:r>
            <w:r>
              <w:rPr>
                <w:noProof/>
                <w:webHidden/>
              </w:rPr>
              <w:fldChar w:fldCharType="end"/>
            </w:r>
          </w:hyperlink>
        </w:p>
        <w:p w14:paraId="1C4F7AED" w14:textId="24FD8198"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1" w:history="1">
            <w:r w:rsidRPr="00B80C39">
              <w:rPr>
                <w:rStyle w:val="Hyperlink"/>
                <w:noProof/>
                <w:lang w:val="x-none" w:eastAsia="x-none" w:bidi="x-none"/>
              </w:rPr>
              <w:t>6.1.14</w:t>
            </w:r>
            <w:r>
              <w:rPr>
                <w:rFonts w:asciiTheme="minorHAnsi" w:eastAsiaTheme="minorEastAsia" w:hAnsiTheme="minorHAnsi" w:cstheme="minorBidi"/>
                <w:noProof/>
                <w:kern w:val="2"/>
                <w:lang w:eastAsia="de-CH"/>
                <w14:ligatures w14:val="standardContextual"/>
              </w:rPr>
              <w:tab/>
            </w:r>
            <w:r w:rsidRPr="00B80C39">
              <w:rPr>
                <w:rStyle w:val="Hyperlink"/>
                <w:noProof/>
              </w:rPr>
              <w:t>Marktrisiken: Risiken aus Credit valuation adjustments (CVA) (GR-14)</w:t>
            </w:r>
            <w:r>
              <w:rPr>
                <w:noProof/>
                <w:webHidden/>
              </w:rPr>
              <w:tab/>
            </w:r>
            <w:r>
              <w:rPr>
                <w:noProof/>
                <w:webHidden/>
              </w:rPr>
              <w:fldChar w:fldCharType="begin"/>
            </w:r>
            <w:r>
              <w:rPr>
                <w:noProof/>
                <w:webHidden/>
              </w:rPr>
              <w:instrText xml:space="preserve"> PAGEREF _Toc216425781 \h </w:instrText>
            </w:r>
            <w:r>
              <w:rPr>
                <w:noProof/>
                <w:webHidden/>
              </w:rPr>
            </w:r>
            <w:r>
              <w:rPr>
                <w:noProof/>
                <w:webHidden/>
              </w:rPr>
              <w:fldChar w:fldCharType="separate"/>
            </w:r>
            <w:r>
              <w:rPr>
                <w:noProof/>
                <w:webHidden/>
              </w:rPr>
              <w:t>26</w:t>
            </w:r>
            <w:r>
              <w:rPr>
                <w:noProof/>
                <w:webHidden/>
              </w:rPr>
              <w:fldChar w:fldCharType="end"/>
            </w:r>
          </w:hyperlink>
        </w:p>
        <w:p w14:paraId="302BA825" w14:textId="2EEF4802"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2" w:history="1">
            <w:r w:rsidRPr="00B80C39">
              <w:rPr>
                <w:rStyle w:val="Hyperlink"/>
                <w:noProof/>
                <w:highlight w:val="yellow"/>
                <w:lang w:val="x-none" w:eastAsia="x-none" w:bidi="x-none"/>
              </w:rPr>
              <w:t>6.1.15</w:t>
            </w:r>
            <w:r>
              <w:rPr>
                <w:rFonts w:asciiTheme="minorHAnsi" w:eastAsiaTheme="minorEastAsia" w:hAnsiTheme="minorHAnsi" w:cstheme="minorBidi"/>
                <w:noProof/>
                <w:kern w:val="2"/>
                <w:lang w:eastAsia="de-CH"/>
                <w14:ligatures w14:val="standardContextual"/>
              </w:rPr>
              <w:tab/>
            </w:r>
            <w:r w:rsidRPr="00B80C39">
              <w:rPr>
                <w:rStyle w:val="Hyperlink"/>
                <w:noProof/>
                <w:highlight w:val="yellow"/>
              </w:rPr>
              <w:t>[Weitere Marktrisiken von der Revisionsstelle zu definieren] (GR-15)</w:t>
            </w:r>
            <w:r>
              <w:rPr>
                <w:noProof/>
                <w:webHidden/>
              </w:rPr>
              <w:tab/>
            </w:r>
            <w:r>
              <w:rPr>
                <w:noProof/>
                <w:webHidden/>
              </w:rPr>
              <w:fldChar w:fldCharType="begin"/>
            </w:r>
            <w:r>
              <w:rPr>
                <w:noProof/>
                <w:webHidden/>
              </w:rPr>
              <w:instrText xml:space="preserve"> PAGEREF _Toc216425782 \h </w:instrText>
            </w:r>
            <w:r>
              <w:rPr>
                <w:noProof/>
                <w:webHidden/>
              </w:rPr>
            </w:r>
            <w:r>
              <w:rPr>
                <w:noProof/>
                <w:webHidden/>
              </w:rPr>
              <w:fldChar w:fldCharType="separate"/>
            </w:r>
            <w:r>
              <w:rPr>
                <w:noProof/>
                <w:webHidden/>
              </w:rPr>
              <w:t>27</w:t>
            </w:r>
            <w:r>
              <w:rPr>
                <w:noProof/>
                <w:webHidden/>
              </w:rPr>
              <w:fldChar w:fldCharType="end"/>
            </w:r>
          </w:hyperlink>
        </w:p>
        <w:p w14:paraId="15DE6950" w14:textId="1A3EFD4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3" w:history="1">
            <w:r w:rsidRPr="00B80C39">
              <w:rPr>
                <w:rStyle w:val="Hyperlink"/>
                <w:noProof/>
                <w:lang w:val="x-none" w:eastAsia="x-none" w:bidi="x-none"/>
              </w:rPr>
              <w:t>6.1.16</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dem Brokerage und Depotgeschäft für Kunden inkl. „Execution-only“ Geschäften für Kunden (GR-16)</w:t>
            </w:r>
            <w:r>
              <w:rPr>
                <w:noProof/>
                <w:webHidden/>
              </w:rPr>
              <w:tab/>
            </w:r>
            <w:r>
              <w:rPr>
                <w:noProof/>
                <w:webHidden/>
              </w:rPr>
              <w:fldChar w:fldCharType="begin"/>
            </w:r>
            <w:r>
              <w:rPr>
                <w:noProof/>
                <w:webHidden/>
              </w:rPr>
              <w:instrText xml:space="preserve"> PAGEREF _Toc216425783 \h </w:instrText>
            </w:r>
            <w:r>
              <w:rPr>
                <w:noProof/>
                <w:webHidden/>
              </w:rPr>
            </w:r>
            <w:r>
              <w:rPr>
                <w:noProof/>
                <w:webHidden/>
              </w:rPr>
              <w:fldChar w:fldCharType="separate"/>
            </w:r>
            <w:r>
              <w:rPr>
                <w:noProof/>
                <w:webHidden/>
              </w:rPr>
              <w:t>28</w:t>
            </w:r>
            <w:r>
              <w:rPr>
                <w:noProof/>
                <w:webHidden/>
              </w:rPr>
              <w:fldChar w:fldCharType="end"/>
            </w:r>
          </w:hyperlink>
        </w:p>
        <w:p w14:paraId="107ADBB0" w14:textId="2263E242"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4" w:history="1">
            <w:r w:rsidRPr="00B80C39">
              <w:rPr>
                <w:rStyle w:val="Hyperlink"/>
                <w:noProof/>
                <w:lang w:val="x-none" w:eastAsia="x-none" w:bidi="x-none"/>
              </w:rPr>
              <w:t>6.1.17</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der Anlageberatung für Kunden (GR-17)</w:t>
            </w:r>
            <w:r>
              <w:rPr>
                <w:noProof/>
                <w:webHidden/>
              </w:rPr>
              <w:tab/>
            </w:r>
            <w:r>
              <w:rPr>
                <w:noProof/>
                <w:webHidden/>
              </w:rPr>
              <w:fldChar w:fldCharType="begin"/>
            </w:r>
            <w:r>
              <w:rPr>
                <w:noProof/>
                <w:webHidden/>
              </w:rPr>
              <w:instrText xml:space="preserve"> PAGEREF _Toc216425784 \h </w:instrText>
            </w:r>
            <w:r>
              <w:rPr>
                <w:noProof/>
                <w:webHidden/>
              </w:rPr>
            </w:r>
            <w:r>
              <w:rPr>
                <w:noProof/>
                <w:webHidden/>
              </w:rPr>
              <w:fldChar w:fldCharType="separate"/>
            </w:r>
            <w:r>
              <w:rPr>
                <w:noProof/>
                <w:webHidden/>
              </w:rPr>
              <w:t>29</w:t>
            </w:r>
            <w:r>
              <w:rPr>
                <w:noProof/>
                <w:webHidden/>
              </w:rPr>
              <w:fldChar w:fldCharType="end"/>
            </w:r>
          </w:hyperlink>
        </w:p>
        <w:p w14:paraId="544A9633" w14:textId="2D30D0B4"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5" w:history="1">
            <w:r w:rsidRPr="00B80C39">
              <w:rPr>
                <w:rStyle w:val="Hyperlink"/>
                <w:noProof/>
                <w:lang w:val="x-none" w:eastAsia="x-none" w:bidi="x-none"/>
              </w:rPr>
              <w:t>6.1.18</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Vermögensverwaltungsmandaten (GR-18)</w:t>
            </w:r>
            <w:r>
              <w:rPr>
                <w:noProof/>
                <w:webHidden/>
              </w:rPr>
              <w:tab/>
            </w:r>
            <w:r>
              <w:rPr>
                <w:noProof/>
                <w:webHidden/>
              </w:rPr>
              <w:fldChar w:fldCharType="begin"/>
            </w:r>
            <w:r>
              <w:rPr>
                <w:noProof/>
                <w:webHidden/>
              </w:rPr>
              <w:instrText xml:space="preserve"> PAGEREF _Toc216425785 \h </w:instrText>
            </w:r>
            <w:r>
              <w:rPr>
                <w:noProof/>
                <w:webHidden/>
              </w:rPr>
            </w:r>
            <w:r>
              <w:rPr>
                <w:noProof/>
                <w:webHidden/>
              </w:rPr>
              <w:fldChar w:fldCharType="separate"/>
            </w:r>
            <w:r>
              <w:rPr>
                <w:noProof/>
                <w:webHidden/>
              </w:rPr>
              <w:t>30</w:t>
            </w:r>
            <w:r>
              <w:rPr>
                <w:noProof/>
                <w:webHidden/>
              </w:rPr>
              <w:fldChar w:fldCharType="end"/>
            </w:r>
          </w:hyperlink>
        </w:p>
        <w:p w14:paraId="4C710342" w14:textId="16F09E0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6" w:history="1">
            <w:r w:rsidRPr="00B80C39">
              <w:rPr>
                <w:rStyle w:val="Hyperlink"/>
                <w:noProof/>
                <w:lang w:val="x-none" w:eastAsia="x-none" w:bidi="x-none"/>
              </w:rPr>
              <w:t>6.1.19</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externen Vermögensverwaltern (GR-19)</w:t>
            </w:r>
            <w:r>
              <w:rPr>
                <w:noProof/>
                <w:webHidden/>
              </w:rPr>
              <w:tab/>
            </w:r>
            <w:r>
              <w:rPr>
                <w:noProof/>
                <w:webHidden/>
              </w:rPr>
              <w:fldChar w:fldCharType="begin"/>
            </w:r>
            <w:r>
              <w:rPr>
                <w:noProof/>
                <w:webHidden/>
              </w:rPr>
              <w:instrText xml:space="preserve"> PAGEREF _Toc216425786 \h </w:instrText>
            </w:r>
            <w:r>
              <w:rPr>
                <w:noProof/>
                <w:webHidden/>
              </w:rPr>
            </w:r>
            <w:r>
              <w:rPr>
                <w:noProof/>
                <w:webHidden/>
              </w:rPr>
              <w:fldChar w:fldCharType="separate"/>
            </w:r>
            <w:r>
              <w:rPr>
                <w:noProof/>
                <w:webHidden/>
              </w:rPr>
              <w:t>32</w:t>
            </w:r>
            <w:r>
              <w:rPr>
                <w:noProof/>
                <w:webHidden/>
              </w:rPr>
              <w:fldChar w:fldCharType="end"/>
            </w:r>
          </w:hyperlink>
        </w:p>
        <w:p w14:paraId="2696E7ED" w14:textId="15EA470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7" w:history="1">
            <w:r w:rsidRPr="00B80C39">
              <w:rPr>
                <w:rStyle w:val="Hyperlink"/>
                <w:noProof/>
                <w:lang w:val="x-none" w:eastAsia="x-none" w:bidi="x-none"/>
              </w:rPr>
              <w:t>6.1.20</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Treuhandgeschäften für Kunden (GR-20)</w:t>
            </w:r>
            <w:r>
              <w:rPr>
                <w:noProof/>
                <w:webHidden/>
              </w:rPr>
              <w:tab/>
            </w:r>
            <w:r>
              <w:rPr>
                <w:noProof/>
                <w:webHidden/>
              </w:rPr>
              <w:fldChar w:fldCharType="begin"/>
            </w:r>
            <w:r>
              <w:rPr>
                <w:noProof/>
                <w:webHidden/>
              </w:rPr>
              <w:instrText xml:space="preserve"> PAGEREF _Toc216425787 \h </w:instrText>
            </w:r>
            <w:r>
              <w:rPr>
                <w:noProof/>
                <w:webHidden/>
              </w:rPr>
            </w:r>
            <w:r>
              <w:rPr>
                <w:noProof/>
                <w:webHidden/>
              </w:rPr>
              <w:fldChar w:fldCharType="separate"/>
            </w:r>
            <w:r>
              <w:rPr>
                <w:noProof/>
                <w:webHidden/>
              </w:rPr>
              <w:t>33</w:t>
            </w:r>
            <w:r>
              <w:rPr>
                <w:noProof/>
                <w:webHidden/>
              </w:rPr>
              <w:fldChar w:fldCharType="end"/>
            </w:r>
          </w:hyperlink>
        </w:p>
        <w:p w14:paraId="064C26A0" w14:textId="769C552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8" w:history="1">
            <w:r w:rsidRPr="00B80C39">
              <w:rPr>
                <w:rStyle w:val="Hyperlink"/>
                <w:noProof/>
                <w:lang w:val="x-none" w:eastAsia="x-none" w:bidi="x-none"/>
              </w:rPr>
              <w:t>6.1.21</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OTC-Geschäften (GR-21)</w:t>
            </w:r>
            <w:r>
              <w:rPr>
                <w:noProof/>
                <w:webHidden/>
              </w:rPr>
              <w:tab/>
            </w:r>
            <w:r>
              <w:rPr>
                <w:noProof/>
                <w:webHidden/>
              </w:rPr>
              <w:fldChar w:fldCharType="begin"/>
            </w:r>
            <w:r>
              <w:rPr>
                <w:noProof/>
                <w:webHidden/>
              </w:rPr>
              <w:instrText xml:space="preserve"> PAGEREF _Toc216425788 \h </w:instrText>
            </w:r>
            <w:r>
              <w:rPr>
                <w:noProof/>
                <w:webHidden/>
              </w:rPr>
            </w:r>
            <w:r>
              <w:rPr>
                <w:noProof/>
                <w:webHidden/>
              </w:rPr>
              <w:fldChar w:fldCharType="separate"/>
            </w:r>
            <w:r>
              <w:rPr>
                <w:noProof/>
                <w:webHidden/>
              </w:rPr>
              <w:t>34</w:t>
            </w:r>
            <w:r>
              <w:rPr>
                <w:noProof/>
                <w:webHidden/>
              </w:rPr>
              <w:fldChar w:fldCharType="end"/>
            </w:r>
          </w:hyperlink>
        </w:p>
        <w:p w14:paraId="32726C17" w14:textId="0B115518"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89" w:history="1">
            <w:r w:rsidRPr="00B80C39">
              <w:rPr>
                <w:rStyle w:val="Hyperlink"/>
                <w:noProof/>
                <w:lang w:val="x-none" w:eastAsia="x-none" w:bidi="x-none"/>
              </w:rPr>
              <w:t>6.1.22</w:t>
            </w:r>
            <w:r>
              <w:rPr>
                <w:rFonts w:asciiTheme="minorHAnsi" w:eastAsiaTheme="minorEastAsia" w:hAnsiTheme="minorHAnsi" w:cstheme="minorBidi"/>
                <w:noProof/>
                <w:kern w:val="2"/>
                <w:lang w:eastAsia="de-CH"/>
                <w14:ligatures w14:val="standardContextual"/>
              </w:rPr>
              <w:tab/>
            </w:r>
            <w:r w:rsidRPr="00B80C39">
              <w:rPr>
                <w:rStyle w:val="Hyperlink"/>
                <w:noProof/>
              </w:rPr>
              <w:t xml:space="preserve">Operationelle Risiken im Zusammenhang mit dem </w:t>
            </w:r>
            <w:r w:rsidRPr="00B80C39">
              <w:rPr>
                <w:rStyle w:val="Hyperlink"/>
                <w:noProof/>
                <w:highlight w:val="yellow"/>
              </w:rPr>
              <w:t>Depotbank- und/oder Zentralverwahrungsgeschäft</w:t>
            </w:r>
            <w:r w:rsidRPr="00B80C39">
              <w:rPr>
                <w:rStyle w:val="Hyperlink"/>
                <w:noProof/>
              </w:rPr>
              <w:t xml:space="preserve"> (GR-22)</w:t>
            </w:r>
            <w:r>
              <w:rPr>
                <w:noProof/>
                <w:webHidden/>
              </w:rPr>
              <w:tab/>
            </w:r>
            <w:r>
              <w:rPr>
                <w:noProof/>
                <w:webHidden/>
              </w:rPr>
              <w:fldChar w:fldCharType="begin"/>
            </w:r>
            <w:r>
              <w:rPr>
                <w:noProof/>
                <w:webHidden/>
              </w:rPr>
              <w:instrText xml:space="preserve"> PAGEREF _Toc216425789 \h </w:instrText>
            </w:r>
            <w:r>
              <w:rPr>
                <w:noProof/>
                <w:webHidden/>
              </w:rPr>
            </w:r>
            <w:r>
              <w:rPr>
                <w:noProof/>
                <w:webHidden/>
              </w:rPr>
              <w:fldChar w:fldCharType="separate"/>
            </w:r>
            <w:r>
              <w:rPr>
                <w:noProof/>
                <w:webHidden/>
              </w:rPr>
              <w:t>35</w:t>
            </w:r>
            <w:r>
              <w:rPr>
                <w:noProof/>
                <w:webHidden/>
              </w:rPr>
              <w:fldChar w:fldCharType="end"/>
            </w:r>
          </w:hyperlink>
        </w:p>
        <w:p w14:paraId="6AA98F63" w14:textId="433D01FB"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0" w:history="1">
            <w:r w:rsidRPr="00B80C39">
              <w:rPr>
                <w:rStyle w:val="Hyperlink"/>
                <w:noProof/>
                <w:lang w:val="x-none" w:eastAsia="x-none" w:bidi="x-none"/>
              </w:rPr>
              <w:t>6.1.23</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der Übernahme von Emissionen von Finanzinstrumenten und Platzierungen von Finanzinstrumenten mit fester Übernahmeverpflichtung (GR-23)</w:t>
            </w:r>
            <w:r>
              <w:rPr>
                <w:noProof/>
                <w:webHidden/>
              </w:rPr>
              <w:tab/>
            </w:r>
            <w:r>
              <w:rPr>
                <w:noProof/>
                <w:webHidden/>
              </w:rPr>
              <w:fldChar w:fldCharType="begin"/>
            </w:r>
            <w:r>
              <w:rPr>
                <w:noProof/>
                <w:webHidden/>
              </w:rPr>
              <w:instrText xml:space="preserve"> PAGEREF _Toc216425790 \h </w:instrText>
            </w:r>
            <w:r>
              <w:rPr>
                <w:noProof/>
                <w:webHidden/>
              </w:rPr>
            </w:r>
            <w:r>
              <w:rPr>
                <w:noProof/>
                <w:webHidden/>
              </w:rPr>
              <w:fldChar w:fldCharType="separate"/>
            </w:r>
            <w:r>
              <w:rPr>
                <w:noProof/>
                <w:webHidden/>
              </w:rPr>
              <w:t>36</w:t>
            </w:r>
            <w:r>
              <w:rPr>
                <w:noProof/>
                <w:webHidden/>
              </w:rPr>
              <w:fldChar w:fldCharType="end"/>
            </w:r>
          </w:hyperlink>
        </w:p>
        <w:p w14:paraId="05EEAB6D" w14:textId="0F61C854"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1" w:history="1">
            <w:r w:rsidRPr="00B80C39">
              <w:rPr>
                <w:rStyle w:val="Hyperlink"/>
                <w:noProof/>
                <w:lang w:val="x-none" w:eastAsia="x-none" w:bidi="x-none"/>
              </w:rPr>
              <w:t>6.1.24</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im Zusammenhang mit dem Zahlungsverkehr (GR-24)</w:t>
            </w:r>
            <w:r>
              <w:rPr>
                <w:noProof/>
                <w:webHidden/>
              </w:rPr>
              <w:tab/>
            </w:r>
            <w:r>
              <w:rPr>
                <w:noProof/>
                <w:webHidden/>
              </w:rPr>
              <w:fldChar w:fldCharType="begin"/>
            </w:r>
            <w:r>
              <w:rPr>
                <w:noProof/>
                <w:webHidden/>
              </w:rPr>
              <w:instrText xml:space="preserve"> PAGEREF _Toc216425791 \h </w:instrText>
            </w:r>
            <w:r>
              <w:rPr>
                <w:noProof/>
                <w:webHidden/>
              </w:rPr>
            </w:r>
            <w:r>
              <w:rPr>
                <w:noProof/>
                <w:webHidden/>
              </w:rPr>
              <w:fldChar w:fldCharType="separate"/>
            </w:r>
            <w:r>
              <w:rPr>
                <w:noProof/>
                <w:webHidden/>
              </w:rPr>
              <w:t>38</w:t>
            </w:r>
            <w:r>
              <w:rPr>
                <w:noProof/>
                <w:webHidden/>
              </w:rPr>
              <w:fldChar w:fldCharType="end"/>
            </w:r>
          </w:hyperlink>
        </w:p>
        <w:p w14:paraId="30331BA3" w14:textId="2F505E56"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2" w:history="1">
            <w:r w:rsidRPr="00B80C39">
              <w:rPr>
                <w:rStyle w:val="Hyperlink"/>
                <w:noProof/>
                <w:lang w:val="x-none" w:eastAsia="x-none" w:bidi="x-none"/>
              </w:rPr>
              <w:t>6.1.25</w:t>
            </w:r>
            <w:r>
              <w:rPr>
                <w:rFonts w:asciiTheme="minorHAnsi" w:eastAsiaTheme="minorEastAsia" w:hAnsiTheme="minorHAnsi" w:cstheme="minorBidi"/>
                <w:noProof/>
                <w:kern w:val="2"/>
                <w:lang w:eastAsia="de-CH"/>
                <w14:ligatures w14:val="standardContextual"/>
              </w:rPr>
              <w:tab/>
            </w:r>
            <w:r w:rsidRPr="00B80C39">
              <w:rPr>
                <w:rStyle w:val="Hyperlink"/>
                <w:noProof/>
              </w:rPr>
              <w:t>Operationelle Risiken: Rechts- und Prozessrisiken inkl. Kundenbeschwerden (GR-25)</w:t>
            </w:r>
            <w:r>
              <w:rPr>
                <w:noProof/>
                <w:webHidden/>
              </w:rPr>
              <w:tab/>
            </w:r>
            <w:r>
              <w:rPr>
                <w:noProof/>
                <w:webHidden/>
              </w:rPr>
              <w:fldChar w:fldCharType="begin"/>
            </w:r>
            <w:r>
              <w:rPr>
                <w:noProof/>
                <w:webHidden/>
              </w:rPr>
              <w:instrText xml:space="preserve"> PAGEREF _Toc216425792 \h </w:instrText>
            </w:r>
            <w:r>
              <w:rPr>
                <w:noProof/>
                <w:webHidden/>
              </w:rPr>
            </w:r>
            <w:r>
              <w:rPr>
                <w:noProof/>
                <w:webHidden/>
              </w:rPr>
              <w:fldChar w:fldCharType="separate"/>
            </w:r>
            <w:r>
              <w:rPr>
                <w:noProof/>
                <w:webHidden/>
              </w:rPr>
              <w:t>39</w:t>
            </w:r>
            <w:r>
              <w:rPr>
                <w:noProof/>
                <w:webHidden/>
              </w:rPr>
              <w:fldChar w:fldCharType="end"/>
            </w:r>
          </w:hyperlink>
        </w:p>
        <w:p w14:paraId="33B8080B" w14:textId="61A71D6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3" w:history="1">
            <w:r w:rsidRPr="00B80C39">
              <w:rPr>
                <w:rStyle w:val="Hyperlink"/>
                <w:noProof/>
                <w:lang w:val="x-none" w:eastAsia="x-none" w:bidi="x-none"/>
              </w:rPr>
              <w:t>6.1.26</w:t>
            </w:r>
            <w:r>
              <w:rPr>
                <w:rFonts w:asciiTheme="minorHAnsi" w:eastAsiaTheme="minorEastAsia" w:hAnsiTheme="minorHAnsi" w:cstheme="minorBidi"/>
                <w:noProof/>
                <w:kern w:val="2"/>
                <w:lang w:eastAsia="de-CH"/>
                <w14:ligatures w14:val="standardContextual"/>
              </w:rPr>
              <w:tab/>
            </w:r>
            <w:r w:rsidRPr="00B80C39">
              <w:rPr>
                <w:rStyle w:val="Hyperlink"/>
                <w:noProof/>
                <w:highlight w:val="yellow"/>
              </w:rPr>
              <w:t>[Weitere Operationelle Risiken von der Revisionsstelle selber zu definieren]</w:t>
            </w:r>
            <w:r w:rsidRPr="00B80C39">
              <w:rPr>
                <w:rStyle w:val="Hyperlink"/>
                <w:noProof/>
              </w:rPr>
              <w:t xml:space="preserve"> (GR-26)</w:t>
            </w:r>
            <w:r>
              <w:rPr>
                <w:noProof/>
                <w:webHidden/>
              </w:rPr>
              <w:tab/>
            </w:r>
            <w:r>
              <w:rPr>
                <w:noProof/>
                <w:webHidden/>
              </w:rPr>
              <w:fldChar w:fldCharType="begin"/>
            </w:r>
            <w:r>
              <w:rPr>
                <w:noProof/>
                <w:webHidden/>
              </w:rPr>
              <w:instrText xml:space="preserve"> PAGEREF _Toc216425793 \h </w:instrText>
            </w:r>
            <w:r>
              <w:rPr>
                <w:noProof/>
                <w:webHidden/>
              </w:rPr>
            </w:r>
            <w:r>
              <w:rPr>
                <w:noProof/>
                <w:webHidden/>
              </w:rPr>
              <w:fldChar w:fldCharType="separate"/>
            </w:r>
            <w:r>
              <w:rPr>
                <w:noProof/>
                <w:webHidden/>
              </w:rPr>
              <w:t>40</w:t>
            </w:r>
            <w:r>
              <w:rPr>
                <w:noProof/>
                <w:webHidden/>
              </w:rPr>
              <w:fldChar w:fldCharType="end"/>
            </w:r>
          </w:hyperlink>
        </w:p>
        <w:p w14:paraId="361960F1" w14:textId="02436B4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4" w:history="1">
            <w:r w:rsidRPr="00B80C39">
              <w:rPr>
                <w:rStyle w:val="Hyperlink"/>
                <w:noProof/>
                <w:lang w:val="x-none" w:eastAsia="x-none" w:bidi="x-none"/>
              </w:rPr>
              <w:t>6.1.27</w:t>
            </w:r>
            <w:r>
              <w:rPr>
                <w:rFonts w:asciiTheme="minorHAnsi" w:eastAsiaTheme="minorEastAsia" w:hAnsiTheme="minorHAnsi" w:cstheme="minorBidi"/>
                <w:noProof/>
                <w:kern w:val="2"/>
                <w:lang w:eastAsia="de-CH"/>
                <w14:ligatures w14:val="standardContextual"/>
              </w:rPr>
              <w:tab/>
            </w:r>
            <w:r w:rsidRPr="00B80C39">
              <w:rPr>
                <w:rStyle w:val="Hyperlink"/>
                <w:noProof/>
              </w:rPr>
              <w:t>Kurzfristige Liquiditätsrisiken (Abruf- und Terminrisiken) (GR-27)</w:t>
            </w:r>
            <w:r>
              <w:rPr>
                <w:noProof/>
                <w:webHidden/>
              </w:rPr>
              <w:tab/>
            </w:r>
            <w:r>
              <w:rPr>
                <w:noProof/>
                <w:webHidden/>
              </w:rPr>
              <w:fldChar w:fldCharType="begin"/>
            </w:r>
            <w:r>
              <w:rPr>
                <w:noProof/>
                <w:webHidden/>
              </w:rPr>
              <w:instrText xml:space="preserve"> PAGEREF _Toc216425794 \h </w:instrText>
            </w:r>
            <w:r>
              <w:rPr>
                <w:noProof/>
                <w:webHidden/>
              </w:rPr>
            </w:r>
            <w:r>
              <w:rPr>
                <w:noProof/>
                <w:webHidden/>
              </w:rPr>
              <w:fldChar w:fldCharType="separate"/>
            </w:r>
            <w:r>
              <w:rPr>
                <w:noProof/>
                <w:webHidden/>
              </w:rPr>
              <w:t>41</w:t>
            </w:r>
            <w:r>
              <w:rPr>
                <w:noProof/>
                <w:webHidden/>
              </w:rPr>
              <w:fldChar w:fldCharType="end"/>
            </w:r>
          </w:hyperlink>
        </w:p>
        <w:p w14:paraId="06A8DA51" w14:textId="5ECE0765"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5" w:history="1">
            <w:r w:rsidRPr="00B80C39">
              <w:rPr>
                <w:rStyle w:val="Hyperlink"/>
                <w:noProof/>
                <w:lang w:val="x-none" w:eastAsia="x-none" w:bidi="x-none"/>
              </w:rPr>
              <w:t>6.1.28</w:t>
            </w:r>
            <w:r>
              <w:rPr>
                <w:rFonts w:asciiTheme="minorHAnsi" w:eastAsiaTheme="minorEastAsia" w:hAnsiTheme="minorHAnsi" w:cstheme="minorBidi"/>
                <w:noProof/>
                <w:kern w:val="2"/>
                <w:lang w:eastAsia="de-CH"/>
                <w14:ligatures w14:val="standardContextual"/>
              </w:rPr>
              <w:tab/>
            </w:r>
            <w:r w:rsidRPr="00B80C39">
              <w:rPr>
                <w:rStyle w:val="Hyperlink"/>
                <w:noProof/>
              </w:rPr>
              <w:t>Strukturelle Refinanzierungsrisiken (GR-28)</w:t>
            </w:r>
            <w:r>
              <w:rPr>
                <w:noProof/>
                <w:webHidden/>
              </w:rPr>
              <w:tab/>
            </w:r>
            <w:r>
              <w:rPr>
                <w:noProof/>
                <w:webHidden/>
              </w:rPr>
              <w:fldChar w:fldCharType="begin"/>
            </w:r>
            <w:r>
              <w:rPr>
                <w:noProof/>
                <w:webHidden/>
              </w:rPr>
              <w:instrText xml:space="preserve"> PAGEREF _Toc216425795 \h </w:instrText>
            </w:r>
            <w:r>
              <w:rPr>
                <w:noProof/>
                <w:webHidden/>
              </w:rPr>
            </w:r>
            <w:r>
              <w:rPr>
                <w:noProof/>
                <w:webHidden/>
              </w:rPr>
              <w:fldChar w:fldCharType="separate"/>
            </w:r>
            <w:r>
              <w:rPr>
                <w:noProof/>
                <w:webHidden/>
              </w:rPr>
              <w:t>42</w:t>
            </w:r>
            <w:r>
              <w:rPr>
                <w:noProof/>
                <w:webHidden/>
              </w:rPr>
              <w:fldChar w:fldCharType="end"/>
            </w:r>
          </w:hyperlink>
        </w:p>
        <w:p w14:paraId="16CC03F6" w14:textId="6009B96C"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6" w:history="1">
            <w:r w:rsidRPr="00B80C39">
              <w:rPr>
                <w:rStyle w:val="Hyperlink"/>
                <w:noProof/>
                <w:lang w:val="x-none" w:eastAsia="x-none" w:bidi="x-none"/>
              </w:rPr>
              <w:t>6.1.29</w:t>
            </w:r>
            <w:r>
              <w:rPr>
                <w:rFonts w:asciiTheme="minorHAnsi" w:eastAsiaTheme="minorEastAsia" w:hAnsiTheme="minorHAnsi" w:cstheme="minorBidi"/>
                <w:noProof/>
                <w:kern w:val="2"/>
                <w:lang w:eastAsia="de-CH"/>
                <w14:ligatures w14:val="standardContextual"/>
              </w:rPr>
              <w:tab/>
            </w:r>
            <w:r w:rsidRPr="00B80C39">
              <w:rPr>
                <w:rStyle w:val="Hyperlink"/>
                <w:noProof/>
              </w:rPr>
              <w:t>Risikokonzentrationen aus Kredit- und Ausfallrisikokonzentrationen (inkl. Ausserbilanzgeschäft) (GR-29)</w:t>
            </w:r>
            <w:r>
              <w:rPr>
                <w:noProof/>
                <w:webHidden/>
              </w:rPr>
              <w:tab/>
            </w:r>
            <w:r>
              <w:rPr>
                <w:noProof/>
                <w:webHidden/>
              </w:rPr>
              <w:fldChar w:fldCharType="begin"/>
            </w:r>
            <w:r>
              <w:rPr>
                <w:noProof/>
                <w:webHidden/>
              </w:rPr>
              <w:instrText xml:space="preserve"> PAGEREF _Toc216425796 \h </w:instrText>
            </w:r>
            <w:r>
              <w:rPr>
                <w:noProof/>
                <w:webHidden/>
              </w:rPr>
            </w:r>
            <w:r>
              <w:rPr>
                <w:noProof/>
                <w:webHidden/>
              </w:rPr>
              <w:fldChar w:fldCharType="separate"/>
            </w:r>
            <w:r>
              <w:rPr>
                <w:noProof/>
                <w:webHidden/>
              </w:rPr>
              <w:t>44</w:t>
            </w:r>
            <w:r>
              <w:rPr>
                <w:noProof/>
                <w:webHidden/>
              </w:rPr>
              <w:fldChar w:fldCharType="end"/>
            </w:r>
          </w:hyperlink>
        </w:p>
        <w:p w14:paraId="2BC0A020" w14:textId="60DB688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7" w:history="1">
            <w:r w:rsidRPr="00B80C39">
              <w:rPr>
                <w:rStyle w:val="Hyperlink"/>
                <w:noProof/>
                <w:lang w:val="x-none" w:eastAsia="x-none" w:bidi="x-none"/>
              </w:rPr>
              <w:t>6.1.30</w:t>
            </w:r>
            <w:r>
              <w:rPr>
                <w:rFonts w:asciiTheme="minorHAnsi" w:eastAsiaTheme="minorEastAsia" w:hAnsiTheme="minorHAnsi" w:cstheme="minorBidi"/>
                <w:noProof/>
                <w:kern w:val="2"/>
                <w:lang w:eastAsia="de-CH"/>
                <w14:ligatures w14:val="standardContextual"/>
              </w:rPr>
              <w:tab/>
            </w:r>
            <w:r w:rsidRPr="00B80C39">
              <w:rPr>
                <w:rStyle w:val="Hyperlink"/>
                <w:noProof/>
              </w:rPr>
              <w:t>Risikokonzentrationen aus Marktrisiken (GR-30)</w:t>
            </w:r>
            <w:r>
              <w:rPr>
                <w:noProof/>
                <w:webHidden/>
              </w:rPr>
              <w:tab/>
            </w:r>
            <w:r>
              <w:rPr>
                <w:noProof/>
                <w:webHidden/>
              </w:rPr>
              <w:fldChar w:fldCharType="begin"/>
            </w:r>
            <w:r>
              <w:rPr>
                <w:noProof/>
                <w:webHidden/>
              </w:rPr>
              <w:instrText xml:space="preserve"> PAGEREF _Toc216425797 \h </w:instrText>
            </w:r>
            <w:r>
              <w:rPr>
                <w:noProof/>
                <w:webHidden/>
              </w:rPr>
            </w:r>
            <w:r>
              <w:rPr>
                <w:noProof/>
                <w:webHidden/>
              </w:rPr>
              <w:fldChar w:fldCharType="separate"/>
            </w:r>
            <w:r>
              <w:rPr>
                <w:noProof/>
                <w:webHidden/>
              </w:rPr>
              <w:t>45</w:t>
            </w:r>
            <w:r>
              <w:rPr>
                <w:noProof/>
                <w:webHidden/>
              </w:rPr>
              <w:fldChar w:fldCharType="end"/>
            </w:r>
          </w:hyperlink>
        </w:p>
        <w:p w14:paraId="17CBC877" w14:textId="2958B68B"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8" w:history="1">
            <w:r w:rsidRPr="00B80C39">
              <w:rPr>
                <w:rStyle w:val="Hyperlink"/>
                <w:noProof/>
                <w:lang w:val="x-none" w:eastAsia="x-none" w:bidi="x-none"/>
              </w:rPr>
              <w:t>6.1.31</w:t>
            </w:r>
            <w:r>
              <w:rPr>
                <w:rFonts w:asciiTheme="minorHAnsi" w:eastAsiaTheme="minorEastAsia" w:hAnsiTheme="minorHAnsi" w:cstheme="minorBidi"/>
                <w:noProof/>
                <w:kern w:val="2"/>
                <w:lang w:eastAsia="de-CH"/>
                <w14:ligatures w14:val="standardContextual"/>
              </w:rPr>
              <w:tab/>
            </w:r>
            <w:r w:rsidRPr="00B80C39">
              <w:rPr>
                <w:rStyle w:val="Hyperlink"/>
                <w:noProof/>
              </w:rPr>
              <w:t>Risikokonzentrationen aus operationellen Risiken (GR-31)</w:t>
            </w:r>
            <w:r>
              <w:rPr>
                <w:noProof/>
                <w:webHidden/>
              </w:rPr>
              <w:tab/>
            </w:r>
            <w:r>
              <w:rPr>
                <w:noProof/>
                <w:webHidden/>
              </w:rPr>
              <w:fldChar w:fldCharType="begin"/>
            </w:r>
            <w:r>
              <w:rPr>
                <w:noProof/>
                <w:webHidden/>
              </w:rPr>
              <w:instrText xml:space="preserve"> PAGEREF _Toc216425798 \h </w:instrText>
            </w:r>
            <w:r>
              <w:rPr>
                <w:noProof/>
                <w:webHidden/>
              </w:rPr>
            </w:r>
            <w:r>
              <w:rPr>
                <w:noProof/>
                <w:webHidden/>
              </w:rPr>
              <w:fldChar w:fldCharType="separate"/>
            </w:r>
            <w:r>
              <w:rPr>
                <w:noProof/>
                <w:webHidden/>
              </w:rPr>
              <w:t>46</w:t>
            </w:r>
            <w:r>
              <w:rPr>
                <w:noProof/>
                <w:webHidden/>
              </w:rPr>
              <w:fldChar w:fldCharType="end"/>
            </w:r>
          </w:hyperlink>
        </w:p>
        <w:p w14:paraId="7FD632BA" w14:textId="34D894CB"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799" w:history="1">
            <w:r w:rsidRPr="00B80C39">
              <w:rPr>
                <w:rStyle w:val="Hyperlink"/>
                <w:noProof/>
                <w:lang w:val="x-none" w:eastAsia="x-none" w:bidi="x-none"/>
              </w:rPr>
              <w:t>6.1.32</w:t>
            </w:r>
            <w:r>
              <w:rPr>
                <w:rFonts w:asciiTheme="minorHAnsi" w:eastAsiaTheme="minorEastAsia" w:hAnsiTheme="minorHAnsi" w:cstheme="minorBidi"/>
                <w:noProof/>
                <w:kern w:val="2"/>
                <w:lang w:eastAsia="de-CH"/>
                <w14:ligatures w14:val="standardContextual"/>
              </w:rPr>
              <w:tab/>
            </w:r>
            <w:r w:rsidRPr="00B80C39">
              <w:rPr>
                <w:rStyle w:val="Hyperlink"/>
                <w:noProof/>
                <w:highlight w:val="yellow"/>
              </w:rPr>
              <w:t>[Weitere Risikokonzentrationen von der Revisionsstelle selber zu definieren]</w:t>
            </w:r>
            <w:r w:rsidRPr="00B80C39">
              <w:rPr>
                <w:rStyle w:val="Hyperlink"/>
                <w:noProof/>
              </w:rPr>
              <w:t xml:space="preserve"> (GR-32)</w:t>
            </w:r>
            <w:r>
              <w:rPr>
                <w:noProof/>
                <w:webHidden/>
              </w:rPr>
              <w:tab/>
            </w:r>
            <w:r>
              <w:rPr>
                <w:noProof/>
                <w:webHidden/>
              </w:rPr>
              <w:fldChar w:fldCharType="begin"/>
            </w:r>
            <w:r>
              <w:rPr>
                <w:noProof/>
                <w:webHidden/>
              </w:rPr>
              <w:instrText xml:space="preserve"> PAGEREF _Toc216425799 \h </w:instrText>
            </w:r>
            <w:r>
              <w:rPr>
                <w:noProof/>
                <w:webHidden/>
              </w:rPr>
            </w:r>
            <w:r>
              <w:rPr>
                <w:noProof/>
                <w:webHidden/>
              </w:rPr>
              <w:fldChar w:fldCharType="separate"/>
            </w:r>
            <w:r>
              <w:rPr>
                <w:noProof/>
                <w:webHidden/>
              </w:rPr>
              <w:t>47</w:t>
            </w:r>
            <w:r>
              <w:rPr>
                <w:noProof/>
                <w:webHidden/>
              </w:rPr>
              <w:fldChar w:fldCharType="end"/>
            </w:r>
          </w:hyperlink>
        </w:p>
        <w:p w14:paraId="5764FDEF" w14:textId="36A00333"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0" w:history="1">
            <w:r w:rsidRPr="00B80C39">
              <w:rPr>
                <w:rStyle w:val="Hyperlink"/>
                <w:noProof/>
                <w:lang w:val="x-none" w:eastAsia="x-none" w:bidi="x-none"/>
              </w:rPr>
              <w:t>6.1.33</w:t>
            </w:r>
            <w:r>
              <w:rPr>
                <w:rFonts w:asciiTheme="minorHAnsi" w:eastAsiaTheme="minorEastAsia" w:hAnsiTheme="minorHAnsi" w:cstheme="minorBidi"/>
                <w:noProof/>
                <w:kern w:val="2"/>
                <w:lang w:eastAsia="de-CH"/>
                <w14:ligatures w14:val="standardContextual"/>
              </w:rPr>
              <w:tab/>
            </w:r>
            <w:r w:rsidRPr="00B80C39">
              <w:rPr>
                <w:rStyle w:val="Hyperlink"/>
                <w:noProof/>
              </w:rPr>
              <w:t>Sonstige Risiken im Zusammenhang mit grenzüberschreitenden Dienstleistungen und Korrespondenzbankbeziehungen (GR-33)</w:t>
            </w:r>
            <w:r>
              <w:rPr>
                <w:noProof/>
                <w:webHidden/>
              </w:rPr>
              <w:tab/>
            </w:r>
            <w:r>
              <w:rPr>
                <w:noProof/>
                <w:webHidden/>
              </w:rPr>
              <w:fldChar w:fldCharType="begin"/>
            </w:r>
            <w:r>
              <w:rPr>
                <w:noProof/>
                <w:webHidden/>
              </w:rPr>
              <w:instrText xml:space="preserve"> PAGEREF _Toc216425800 \h </w:instrText>
            </w:r>
            <w:r>
              <w:rPr>
                <w:noProof/>
                <w:webHidden/>
              </w:rPr>
            </w:r>
            <w:r>
              <w:rPr>
                <w:noProof/>
                <w:webHidden/>
              </w:rPr>
              <w:fldChar w:fldCharType="separate"/>
            </w:r>
            <w:r>
              <w:rPr>
                <w:noProof/>
                <w:webHidden/>
              </w:rPr>
              <w:t>48</w:t>
            </w:r>
            <w:r>
              <w:rPr>
                <w:noProof/>
                <w:webHidden/>
              </w:rPr>
              <w:fldChar w:fldCharType="end"/>
            </w:r>
          </w:hyperlink>
        </w:p>
        <w:p w14:paraId="586E971C" w14:textId="3B99312C"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1" w:history="1">
            <w:r w:rsidRPr="00B80C39">
              <w:rPr>
                <w:rStyle w:val="Hyperlink"/>
                <w:noProof/>
                <w:lang w:val="x-none" w:eastAsia="x-none" w:bidi="x-none"/>
              </w:rPr>
              <w:t>6.1.34</w:t>
            </w:r>
            <w:r>
              <w:rPr>
                <w:rFonts w:asciiTheme="minorHAnsi" w:eastAsiaTheme="minorEastAsia" w:hAnsiTheme="minorHAnsi" w:cstheme="minorBidi"/>
                <w:noProof/>
                <w:kern w:val="2"/>
                <w:lang w:eastAsia="de-CH"/>
                <w14:ligatures w14:val="standardContextual"/>
              </w:rPr>
              <w:tab/>
            </w:r>
            <w:r w:rsidRPr="00B80C39">
              <w:rPr>
                <w:rStyle w:val="Hyperlink"/>
                <w:noProof/>
              </w:rPr>
              <w:t>Sonstige Risiken im Zusammenhang mit Intragruppenbeziehungen (GR-34)</w:t>
            </w:r>
            <w:r>
              <w:rPr>
                <w:noProof/>
                <w:webHidden/>
              </w:rPr>
              <w:tab/>
            </w:r>
            <w:r>
              <w:rPr>
                <w:noProof/>
                <w:webHidden/>
              </w:rPr>
              <w:fldChar w:fldCharType="begin"/>
            </w:r>
            <w:r>
              <w:rPr>
                <w:noProof/>
                <w:webHidden/>
              </w:rPr>
              <w:instrText xml:space="preserve"> PAGEREF _Toc216425801 \h </w:instrText>
            </w:r>
            <w:r>
              <w:rPr>
                <w:noProof/>
                <w:webHidden/>
              </w:rPr>
            </w:r>
            <w:r>
              <w:rPr>
                <w:noProof/>
                <w:webHidden/>
              </w:rPr>
              <w:fldChar w:fldCharType="separate"/>
            </w:r>
            <w:r>
              <w:rPr>
                <w:noProof/>
                <w:webHidden/>
              </w:rPr>
              <w:t>50</w:t>
            </w:r>
            <w:r>
              <w:rPr>
                <w:noProof/>
                <w:webHidden/>
              </w:rPr>
              <w:fldChar w:fldCharType="end"/>
            </w:r>
          </w:hyperlink>
        </w:p>
        <w:p w14:paraId="25A7EC7C" w14:textId="449CD72C"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2" w:history="1">
            <w:r w:rsidRPr="00B80C39">
              <w:rPr>
                <w:rStyle w:val="Hyperlink"/>
                <w:noProof/>
                <w:lang w:val="x-none" w:eastAsia="x-none" w:bidi="x-none"/>
              </w:rPr>
              <w:t>6.1.35</w:t>
            </w:r>
            <w:r>
              <w:rPr>
                <w:rFonts w:asciiTheme="minorHAnsi" w:eastAsiaTheme="minorEastAsia" w:hAnsiTheme="minorHAnsi" w:cstheme="minorBidi"/>
                <w:noProof/>
                <w:kern w:val="2"/>
                <w:lang w:eastAsia="de-CH"/>
                <w14:ligatures w14:val="standardContextual"/>
              </w:rPr>
              <w:tab/>
            </w:r>
            <w:r w:rsidRPr="00B80C39">
              <w:rPr>
                <w:rStyle w:val="Hyperlink"/>
                <w:noProof/>
              </w:rPr>
              <w:t>Reputations- und Step-In-Risiken (GR-35)</w:t>
            </w:r>
            <w:r>
              <w:rPr>
                <w:noProof/>
                <w:webHidden/>
              </w:rPr>
              <w:tab/>
            </w:r>
            <w:r>
              <w:rPr>
                <w:noProof/>
                <w:webHidden/>
              </w:rPr>
              <w:fldChar w:fldCharType="begin"/>
            </w:r>
            <w:r>
              <w:rPr>
                <w:noProof/>
                <w:webHidden/>
              </w:rPr>
              <w:instrText xml:space="preserve"> PAGEREF _Toc216425802 \h </w:instrText>
            </w:r>
            <w:r>
              <w:rPr>
                <w:noProof/>
                <w:webHidden/>
              </w:rPr>
            </w:r>
            <w:r>
              <w:rPr>
                <w:noProof/>
                <w:webHidden/>
              </w:rPr>
              <w:fldChar w:fldCharType="separate"/>
            </w:r>
            <w:r>
              <w:rPr>
                <w:noProof/>
                <w:webHidden/>
              </w:rPr>
              <w:t>51</w:t>
            </w:r>
            <w:r>
              <w:rPr>
                <w:noProof/>
                <w:webHidden/>
              </w:rPr>
              <w:fldChar w:fldCharType="end"/>
            </w:r>
          </w:hyperlink>
        </w:p>
        <w:p w14:paraId="36280652" w14:textId="6874BA3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3" w:history="1">
            <w:r w:rsidRPr="00B80C39">
              <w:rPr>
                <w:rStyle w:val="Hyperlink"/>
                <w:noProof/>
                <w:lang w:val="x-none" w:eastAsia="x-none" w:bidi="x-none"/>
              </w:rPr>
              <w:t>6.1.36</w:t>
            </w:r>
            <w:r>
              <w:rPr>
                <w:rFonts w:asciiTheme="minorHAnsi" w:eastAsiaTheme="minorEastAsia" w:hAnsiTheme="minorHAnsi" w:cstheme="minorBidi"/>
                <w:noProof/>
                <w:kern w:val="2"/>
                <w:lang w:eastAsia="de-CH"/>
                <w14:ligatures w14:val="standardContextual"/>
              </w:rPr>
              <w:tab/>
            </w:r>
            <w:r w:rsidRPr="00B80C39">
              <w:rPr>
                <w:rStyle w:val="Hyperlink"/>
                <w:noProof/>
                <w:highlight w:val="yellow"/>
              </w:rPr>
              <w:t xml:space="preserve">[Weitere sonstige Risiken von der </w:t>
            </w:r>
            <w:r w:rsidRPr="00B80C39">
              <w:rPr>
                <w:rStyle w:val="Hyperlink"/>
                <w:i/>
                <w:noProof/>
                <w:highlight w:val="yellow"/>
              </w:rPr>
              <w:t>Revisionsstelle</w:t>
            </w:r>
            <w:r w:rsidRPr="00B80C39">
              <w:rPr>
                <w:rStyle w:val="Hyperlink"/>
                <w:noProof/>
                <w:highlight w:val="yellow"/>
              </w:rPr>
              <w:t xml:space="preserve"> zu definieren]</w:t>
            </w:r>
            <w:r w:rsidRPr="00B80C39">
              <w:rPr>
                <w:rStyle w:val="Hyperlink"/>
                <w:noProof/>
              </w:rPr>
              <w:t xml:space="preserve"> (GR-36)</w:t>
            </w:r>
            <w:r>
              <w:rPr>
                <w:noProof/>
                <w:webHidden/>
              </w:rPr>
              <w:tab/>
            </w:r>
            <w:r>
              <w:rPr>
                <w:noProof/>
                <w:webHidden/>
              </w:rPr>
              <w:fldChar w:fldCharType="begin"/>
            </w:r>
            <w:r>
              <w:rPr>
                <w:noProof/>
                <w:webHidden/>
              </w:rPr>
              <w:instrText xml:space="preserve"> PAGEREF _Toc216425803 \h </w:instrText>
            </w:r>
            <w:r>
              <w:rPr>
                <w:noProof/>
                <w:webHidden/>
              </w:rPr>
            </w:r>
            <w:r>
              <w:rPr>
                <w:noProof/>
                <w:webHidden/>
              </w:rPr>
              <w:fldChar w:fldCharType="separate"/>
            </w:r>
            <w:r>
              <w:rPr>
                <w:noProof/>
                <w:webHidden/>
              </w:rPr>
              <w:t>52</w:t>
            </w:r>
            <w:r>
              <w:rPr>
                <w:noProof/>
                <w:webHidden/>
              </w:rPr>
              <w:fldChar w:fldCharType="end"/>
            </w:r>
          </w:hyperlink>
        </w:p>
        <w:p w14:paraId="38875740" w14:textId="0FACB01D"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04" w:history="1">
            <w:r w:rsidRPr="00B80C39">
              <w:rPr>
                <w:rStyle w:val="Hyperlink"/>
                <w:noProof/>
              </w:rPr>
              <w:t>6.2</w:t>
            </w:r>
            <w:r>
              <w:rPr>
                <w:rFonts w:asciiTheme="minorHAnsi" w:eastAsiaTheme="minorEastAsia" w:hAnsiTheme="minorHAnsi" w:cstheme="minorBidi"/>
                <w:noProof/>
                <w:kern w:val="2"/>
                <w:lang w:eastAsia="de-CH"/>
                <w14:ligatures w14:val="standardContextual"/>
              </w:rPr>
              <w:tab/>
            </w:r>
            <w:r w:rsidRPr="00B80C39">
              <w:rPr>
                <w:rStyle w:val="Hyperlink"/>
                <w:noProof/>
              </w:rPr>
              <w:t>Governance</w:t>
            </w:r>
            <w:r>
              <w:rPr>
                <w:noProof/>
                <w:webHidden/>
              </w:rPr>
              <w:tab/>
            </w:r>
            <w:r>
              <w:rPr>
                <w:noProof/>
                <w:webHidden/>
              </w:rPr>
              <w:fldChar w:fldCharType="begin"/>
            </w:r>
            <w:r>
              <w:rPr>
                <w:noProof/>
                <w:webHidden/>
              </w:rPr>
              <w:instrText xml:space="preserve"> PAGEREF _Toc216425804 \h </w:instrText>
            </w:r>
            <w:r>
              <w:rPr>
                <w:noProof/>
                <w:webHidden/>
              </w:rPr>
            </w:r>
            <w:r>
              <w:rPr>
                <w:noProof/>
                <w:webHidden/>
              </w:rPr>
              <w:fldChar w:fldCharType="separate"/>
            </w:r>
            <w:r>
              <w:rPr>
                <w:noProof/>
                <w:webHidden/>
              </w:rPr>
              <w:t>53</w:t>
            </w:r>
            <w:r>
              <w:rPr>
                <w:noProof/>
                <w:webHidden/>
              </w:rPr>
              <w:fldChar w:fldCharType="end"/>
            </w:r>
          </w:hyperlink>
        </w:p>
        <w:p w14:paraId="3B2AF576" w14:textId="134ADF4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5" w:history="1">
            <w:r w:rsidRPr="00B80C39">
              <w:rPr>
                <w:rStyle w:val="Hyperlink"/>
                <w:noProof/>
                <w:lang w:val="x-none" w:eastAsia="x-none" w:bidi="x-none"/>
              </w:rPr>
              <w:t>6.2.1</w:t>
            </w:r>
            <w:r>
              <w:rPr>
                <w:rFonts w:asciiTheme="minorHAnsi" w:eastAsiaTheme="minorEastAsia" w:hAnsiTheme="minorHAnsi" w:cstheme="minorBidi"/>
                <w:noProof/>
                <w:kern w:val="2"/>
                <w:lang w:eastAsia="de-CH"/>
                <w14:ligatures w14:val="standardContextual"/>
              </w:rPr>
              <w:tab/>
            </w:r>
            <w:r w:rsidRPr="00B80C39">
              <w:rPr>
                <w:rStyle w:val="Hyperlink"/>
                <w:noProof/>
              </w:rPr>
              <w:t>Geschäftsleitung (GOV-1)</w:t>
            </w:r>
            <w:r>
              <w:rPr>
                <w:noProof/>
                <w:webHidden/>
              </w:rPr>
              <w:tab/>
            </w:r>
            <w:r>
              <w:rPr>
                <w:noProof/>
                <w:webHidden/>
              </w:rPr>
              <w:fldChar w:fldCharType="begin"/>
            </w:r>
            <w:r>
              <w:rPr>
                <w:noProof/>
                <w:webHidden/>
              </w:rPr>
              <w:instrText xml:space="preserve"> PAGEREF _Toc216425805 \h </w:instrText>
            </w:r>
            <w:r>
              <w:rPr>
                <w:noProof/>
                <w:webHidden/>
              </w:rPr>
            </w:r>
            <w:r>
              <w:rPr>
                <w:noProof/>
                <w:webHidden/>
              </w:rPr>
              <w:fldChar w:fldCharType="separate"/>
            </w:r>
            <w:r>
              <w:rPr>
                <w:noProof/>
                <w:webHidden/>
              </w:rPr>
              <w:t>53</w:t>
            </w:r>
            <w:r>
              <w:rPr>
                <w:noProof/>
                <w:webHidden/>
              </w:rPr>
              <w:fldChar w:fldCharType="end"/>
            </w:r>
          </w:hyperlink>
        </w:p>
        <w:p w14:paraId="7A178715" w14:textId="0ECC28B2"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6" w:history="1">
            <w:r w:rsidRPr="00B80C39">
              <w:rPr>
                <w:rStyle w:val="Hyperlink"/>
                <w:noProof/>
                <w:lang w:val="x-none" w:eastAsia="x-none" w:bidi="x-none"/>
              </w:rPr>
              <w:t>6.2.2</w:t>
            </w:r>
            <w:r>
              <w:rPr>
                <w:rFonts w:asciiTheme="minorHAnsi" w:eastAsiaTheme="minorEastAsia" w:hAnsiTheme="minorHAnsi" w:cstheme="minorBidi"/>
                <w:noProof/>
                <w:kern w:val="2"/>
                <w:lang w:eastAsia="de-CH"/>
                <w14:ligatures w14:val="standardContextual"/>
              </w:rPr>
              <w:tab/>
            </w:r>
            <w:r w:rsidRPr="00B80C39">
              <w:rPr>
                <w:rStyle w:val="Hyperlink"/>
                <w:noProof/>
              </w:rPr>
              <w:t>Verwaltungsrat (GOV-2)</w:t>
            </w:r>
            <w:r>
              <w:rPr>
                <w:noProof/>
                <w:webHidden/>
              </w:rPr>
              <w:tab/>
            </w:r>
            <w:r>
              <w:rPr>
                <w:noProof/>
                <w:webHidden/>
              </w:rPr>
              <w:fldChar w:fldCharType="begin"/>
            </w:r>
            <w:r>
              <w:rPr>
                <w:noProof/>
                <w:webHidden/>
              </w:rPr>
              <w:instrText xml:space="preserve"> PAGEREF _Toc216425806 \h </w:instrText>
            </w:r>
            <w:r>
              <w:rPr>
                <w:noProof/>
                <w:webHidden/>
              </w:rPr>
            </w:r>
            <w:r>
              <w:rPr>
                <w:noProof/>
                <w:webHidden/>
              </w:rPr>
              <w:fldChar w:fldCharType="separate"/>
            </w:r>
            <w:r>
              <w:rPr>
                <w:noProof/>
                <w:webHidden/>
              </w:rPr>
              <w:t>54</w:t>
            </w:r>
            <w:r>
              <w:rPr>
                <w:noProof/>
                <w:webHidden/>
              </w:rPr>
              <w:fldChar w:fldCharType="end"/>
            </w:r>
          </w:hyperlink>
        </w:p>
        <w:p w14:paraId="73A61AF3" w14:textId="7EB8D2A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7" w:history="1">
            <w:r w:rsidRPr="00B80C39">
              <w:rPr>
                <w:rStyle w:val="Hyperlink"/>
                <w:noProof/>
                <w:lang w:val="x-none" w:eastAsia="x-none" w:bidi="x-none"/>
              </w:rPr>
              <w:t>6.2.3</w:t>
            </w:r>
            <w:r>
              <w:rPr>
                <w:rFonts w:asciiTheme="minorHAnsi" w:eastAsiaTheme="minorEastAsia" w:hAnsiTheme="minorHAnsi" w:cstheme="minorBidi"/>
                <w:noProof/>
                <w:kern w:val="2"/>
                <w:lang w:eastAsia="de-CH"/>
                <w14:ligatures w14:val="standardContextual"/>
              </w:rPr>
              <w:tab/>
            </w:r>
            <w:r w:rsidRPr="00B80C39">
              <w:rPr>
                <w:rStyle w:val="Hyperlink"/>
                <w:noProof/>
              </w:rPr>
              <w:t>Interessenskonflikte (GOV-3)</w:t>
            </w:r>
            <w:r>
              <w:rPr>
                <w:noProof/>
                <w:webHidden/>
              </w:rPr>
              <w:tab/>
            </w:r>
            <w:r>
              <w:rPr>
                <w:noProof/>
                <w:webHidden/>
              </w:rPr>
              <w:fldChar w:fldCharType="begin"/>
            </w:r>
            <w:r>
              <w:rPr>
                <w:noProof/>
                <w:webHidden/>
              </w:rPr>
              <w:instrText xml:space="preserve"> PAGEREF _Toc216425807 \h </w:instrText>
            </w:r>
            <w:r>
              <w:rPr>
                <w:noProof/>
                <w:webHidden/>
              </w:rPr>
            </w:r>
            <w:r>
              <w:rPr>
                <w:noProof/>
                <w:webHidden/>
              </w:rPr>
              <w:fldChar w:fldCharType="separate"/>
            </w:r>
            <w:r>
              <w:rPr>
                <w:noProof/>
                <w:webHidden/>
              </w:rPr>
              <w:t>56</w:t>
            </w:r>
            <w:r>
              <w:rPr>
                <w:noProof/>
                <w:webHidden/>
              </w:rPr>
              <w:fldChar w:fldCharType="end"/>
            </w:r>
          </w:hyperlink>
        </w:p>
        <w:p w14:paraId="4664D2E4" w14:textId="4B96A52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8" w:history="1">
            <w:r w:rsidRPr="00B80C39">
              <w:rPr>
                <w:rStyle w:val="Hyperlink"/>
                <w:noProof/>
                <w:lang w:val="x-none" w:eastAsia="x-none" w:bidi="x-none"/>
              </w:rPr>
              <w:t>6.2.4</w:t>
            </w:r>
            <w:r>
              <w:rPr>
                <w:rFonts w:asciiTheme="minorHAnsi" w:eastAsiaTheme="minorEastAsia" w:hAnsiTheme="minorHAnsi" w:cstheme="minorBidi"/>
                <w:noProof/>
                <w:kern w:val="2"/>
                <w:lang w:eastAsia="de-CH"/>
                <w14:ligatures w14:val="standardContextual"/>
              </w:rPr>
              <w:tab/>
            </w:r>
            <w:r w:rsidRPr="00B80C39">
              <w:rPr>
                <w:rStyle w:val="Hyperlink"/>
                <w:noProof/>
              </w:rPr>
              <w:t>Interne Kontrollfunktion: Risikomanagementfunktion und Risikomanagement-Rahmenwerk (GOV-4)</w:t>
            </w:r>
            <w:r>
              <w:rPr>
                <w:noProof/>
                <w:webHidden/>
              </w:rPr>
              <w:tab/>
            </w:r>
            <w:r>
              <w:rPr>
                <w:noProof/>
                <w:webHidden/>
              </w:rPr>
              <w:fldChar w:fldCharType="begin"/>
            </w:r>
            <w:r>
              <w:rPr>
                <w:noProof/>
                <w:webHidden/>
              </w:rPr>
              <w:instrText xml:space="preserve"> PAGEREF _Toc216425808 \h </w:instrText>
            </w:r>
            <w:r>
              <w:rPr>
                <w:noProof/>
                <w:webHidden/>
              </w:rPr>
            </w:r>
            <w:r>
              <w:rPr>
                <w:noProof/>
                <w:webHidden/>
              </w:rPr>
              <w:fldChar w:fldCharType="separate"/>
            </w:r>
            <w:r>
              <w:rPr>
                <w:noProof/>
                <w:webHidden/>
              </w:rPr>
              <w:t>57</w:t>
            </w:r>
            <w:r>
              <w:rPr>
                <w:noProof/>
                <w:webHidden/>
              </w:rPr>
              <w:fldChar w:fldCharType="end"/>
            </w:r>
          </w:hyperlink>
        </w:p>
        <w:p w14:paraId="24FB3CFC" w14:textId="631478A1"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09" w:history="1">
            <w:r w:rsidRPr="00B80C39">
              <w:rPr>
                <w:rStyle w:val="Hyperlink"/>
                <w:noProof/>
                <w:lang w:val="x-none" w:eastAsia="x-none" w:bidi="x-none"/>
              </w:rPr>
              <w:t>6.2.5</w:t>
            </w:r>
            <w:r>
              <w:rPr>
                <w:rFonts w:asciiTheme="minorHAnsi" w:eastAsiaTheme="minorEastAsia" w:hAnsiTheme="minorHAnsi" w:cstheme="minorBidi"/>
                <w:noProof/>
                <w:kern w:val="2"/>
                <w:lang w:eastAsia="de-CH"/>
                <w14:ligatures w14:val="standardContextual"/>
              </w:rPr>
              <w:tab/>
            </w:r>
            <w:r w:rsidRPr="00B80C39">
              <w:rPr>
                <w:rStyle w:val="Hyperlink"/>
                <w:noProof/>
              </w:rPr>
              <w:t>Interne Kontrollfunktion: Compliance (GOV-5)</w:t>
            </w:r>
            <w:r>
              <w:rPr>
                <w:noProof/>
                <w:webHidden/>
              </w:rPr>
              <w:tab/>
            </w:r>
            <w:r>
              <w:rPr>
                <w:noProof/>
                <w:webHidden/>
              </w:rPr>
              <w:fldChar w:fldCharType="begin"/>
            </w:r>
            <w:r>
              <w:rPr>
                <w:noProof/>
                <w:webHidden/>
              </w:rPr>
              <w:instrText xml:space="preserve"> PAGEREF _Toc216425809 \h </w:instrText>
            </w:r>
            <w:r>
              <w:rPr>
                <w:noProof/>
                <w:webHidden/>
              </w:rPr>
            </w:r>
            <w:r>
              <w:rPr>
                <w:noProof/>
                <w:webHidden/>
              </w:rPr>
              <w:fldChar w:fldCharType="separate"/>
            </w:r>
            <w:r>
              <w:rPr>
                <w:noProof/>
                <w:webHidden/>
              </w:rPr>
              <w:t>58</w:t>
            </w:r>
            <w:r>
              <w:rPr>
                <w:noProof/>
                <w:webHidden/>
              </w:rPr>
              <w:fldChar w:fldCharType="end"/>
            </w:r>
          </w:hyperlink>
        </w:p>
        <w:p w14:paraId="555F6650" w14:textId="6831057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0" w:history="1">
            <w:r w:rsidRPr="00B80C39">
              <w:rPr>
                <w:rStyle w:val="Hyperlink"/>
                <w:noProof/>
                <w:lang w:val="x-none" w:eastAsia="x-none" w:bidi="x-none"/>
              </w:rPr>
              <w:t>6.2.6</w:t>
            </w:r>
            <w:r>
              <w:rPr>
                <w:rFonts w:asciiTheme="minorHAnsi" w:eastAsiaTheme="minorEastAsia" w:hAnsiTheme="minorHAnsi" w:cstheme="minorBidi"/>
                <w:noProof/>
                <w:kern w:val="2"/>
                <w:lang w:eastAsia="de-CH"/>
                <w14:ligatures w14:val="standardContextual"/>
              </w:rPr>
              <w:tab/>
            </w:r>
            <w:r w:rsidRPr="00B80C39">
              <w:rPr>
                <w:rStyle w:val="Hyperlink"/>
                <w:noProof/>
              </w:rPr>
              <w:t>Interne Kontrollfunktion: Interne Revision (GOV-6)</w:t>
            </w:r>
            <w:r>
              <w:rPr>
                <w:noProof/>
                <w:webHidden/>
              </w:rPr>
              <w:tab/>
            </w:r>
            <w:r>
              <w:rPr>
                <w:noProof/>
                <w:webHidden/>
              </w:rPr>
              <w:fldChar w:fldCharType="begin"/>
            </w:r>
            <w:r>
              <w:rPr>
                <w:noProof/>
                <w:webHidden/>
              </w:rPr>
              <w:instrText xml:space="preserve"> PAGEREF _Toc216425810 \h </w:instrText>
            </w:r>
            <w:r>
              <w:rPr>
                <w:noProof/>
                <w:webHidden/>
              </w:rPr>
            </w:r>
            <w:r>
              <w:rPr>
                <w:noProof/>
                <w:webHidden/>
              </w:rPr>
              <w:fldChar w:fldCharType="separate"/>
            </w:r>
            <w:r>
              <w:rPr>
                <w:noProof/>
                <w:webHidden/>
              </w:rPr>
              <w:t>59</w:t>
            </w:r>
            <w:r>
              <w:rPr>
                <w:noProof/>
                <w:webHidden/>
              </w:rPr>
              <w:fldChar w:fldCharType="end"/>
            </w:r>
          </w:hyperlink>
        </w:p>
        <w:p w14:paraId="47E4F1F0" w14:textId="19D61D6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1" w:history="1">
            <w:r w:rsidRPr="00B80C39">
              <w:rPr>
                <w:rStyle w:val="Hyperlink"/>
                <w:noProof/>
                <w:lang w:val="x-none" w:eastAsia="x-none" w:bidi="x-none"/>
              </w:rPr>
              <w:t>6.2.7</w:t>
            </w:r>
            <w:r>
              <w:rPr>
                <w:rFonts w:asciiTheme="minorHAnsi" w:eastAsiaTheme="minorEastAsia" w:hAnsiTheme="minorHAnsi" w:cstheme="minorBidi"/>
                <w:noProof/>
                <w:kern w:val="2"/>
                <w:lang w:eastAsia="de-CH"/>
                <w14:ligatures w14:val="standardContextual"/>
              </w:rPr>
              <w:tab/>
            </w:r>
            <w:r w:rsidRPr="00B80C39">
              <w:rPr>
                <w:rStyle w:val="Hyperlink"/>
                <w:noProof/>
              </w:rPr>
              <w:t>Neue Produkte und wichtige Änderungen (GOV-7)</w:t>
            </w:r>
            <w:r>
              <w:rPr>
                <w:noProof/>
                <w:webHidden/>
              </w:rPr>
              <w:tab/>
            </w:r>
            <w:r>
              <w:rPr>
                <w:noProof/>
                <w:webHidden/>
              </w:rPr>
              <w:fldChar w:fldCharType="begin"/>
            </w:r>
            <w:r>
              <w:rPr>
                <w:noProof/>
                <w:webHidden/>
              </w:rPr>
              <w:instrText xml:space="preserve"> PAGEREF _Toc216425811 \h </w:instrText>
            </w:r>
            <w:r>
              <w:rPr>
                <w:noProof/>
                <w:webHidden/>
              </w:rPr>
            </w:r>
            <w:r>
              <w:rPr>
                <w:noProof/>
                <w:webHidden/>
              </w:rPr>
              <w:fldChar w:fldCharType="separate"/>
            </w:r>
            <w:r>
              <w:rPr>
                <w:noProof/>
                <w:webHidden/>
              </w:rPr>
              <w:t>60</w:t>
            </w:r>
            <w:r>
              <w:rPr>
                <w:noProof/>
                <w:webHidden/>
              </w:rPr>
              <w:fldChar w:fldCharType="end"/>
            </w:r>
          </w:hyperlink>
        </w:p>
        <w:p w14:paraId="35226D17" w14:textId="203B8A6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2" w:history="1">
            <w:r w:rsidRPr="00B80C39">
              <w:rPr>
                <w:rStyle w:val="Hyperlink"/>
                <w:noProof/>
                <w:lang w:val="x-none" w:eastAsia="x-none" w:bidi="x-none"/>
              </w:rPr>
              <w:t>6.2.8</w:t>
            </w:r>
            <w:r>
              <w:rPr>
                <w:rFonts w:asciiTheme="minorHAnsi" w:eastAsiaTheme="minorEastAsia" w:hAnsiTheme="minorHAnsi" w:cstheme="minorBidi"/>
                <w:noProof/>
                <w:kern w:val="2"/>
                <w:lang w:eastAsia="de-CH"/>
                <w14:ligatures w14:val="standardContextual"/>
              </w:rPr>
              <w:tab/>
            </w:r>
            <w:r w:rsidRPr="00B80C39">
              <w:rPr>
                <w:rStyle w:val="Hyperlink"/>
                <w:noProof/>
              </w:rPr>
              <w:t>Auslagerungen (GOV-8)</w:t>
            </w:r>
            <w:r>
              <w:rPr>
                <w:noProof/>
                <w:webHidden/>
              </w:rPr>
              <w:tab/>
            </w:r>
            <w:r>
              <w:rPr>
                <w:noProof/>
                <w:webHidden/>
              </w:rPr>
              <w:fldChar w:fldCharType="begin"/>
            </w:r>
            <w:r>
              <w:rPr>
                <w:noProof/>
                <w:webHidden/>
              </w:rPr>
              <w:instrText xml:space="preserve"> PAGEREF _Toc216425812 \h </w:instrText>
            </w:r>
            <w:r>
              <w:rPr>
                <w:noProof/>
                <w:webHidden/>
              </w:rPr>
            </w:r>
            <w:r>
              <w:rPr>
                <w:noProof/>
                <w:webHidden/>
              </w:rPr>
              <w:fldChar w:fldCharType="separate"/>
            </w:r>
            <w:r>
              <w:rPr>
                <w:noProof/>
                <w:webHidden/>
              </w:rPr>
              <w:t>62</w:t>
            </w:r>
            <w:r>
              <w:rPr>
                <w:noProof/>
                <w:webHidden/>
              </w:rPr>
              <w:fldChar w:fldCharType="end"/>
            </w:r>
          </w:hyperlink>
        </w:p>
        <w:p w14:paraId="04BFCA39" w14:textId="5B87D1B0"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3" w:history="1">
            <w:r w:rsidRPr="00B80C39">
              <w:rPr>
                <w:rStyle w:val="Hyperlink"/>
                <w:noProof/>
                <w:lang w:val="x-none" w:eastAsia="x-none" w:bidi="x-none"/>
              </w:rPr>
              <w:t>6.2.9</w:t>
            </w:r>
            <w:r>
              <w:rPr>
                <w:rFonts w:asciiTheme="minorHAnsi" w:eastAsiaTheme="minorEastAsia" w:hAnsiTheme="minorHAnsi" w:cstheme="minorBidi"/>
                <w:noProof/>
                <w:kern w:val="2"/>
                <w:lang w:eastAsia="de-CH"/>
                <w14:ligatures w14:val="standardContextual"/>
              </w:rPr>
              <w:tab/>
            </w:r>
            <w:r w:rsidRPr="00B80C39">
              <w:rPr>
                <w:rStyle w:val="Hyperlink"/>
                <w:noProof/>
              </w:rPr>
              <w:t>Business Continuity Management (Massnahmen zur Aufrechterhaltung des Geschäftsbetriebs) (GOV-9)</w:t>
            </w:r>
            <w:r>
              <w:rPr>
                <w:noProof/>
                <w:webHidden/>
              </w:rPr>
              <w:tab/>
            </w:r>
            <w:r>
              <w:rPr>
                <w:noProof/>
                <w:webHidden/>
              </w:rPr>
              <w:fldChar w:fldCharType="begin"/>
            </w:r>
            <w:r>
              <w:rPr>
                <w:noProof/>
                <w:webHidden/>
              </w:rPr>
              <w:instrText xml:space="preserve"> PAGEREF _Toc216425813 \h </w:instrText>
            </w:r>
            <w:r>
              <w:rPr>
                <w:noProof/>
                <w:webHidden/>
              </w:rPr>
            </w:r>
            <w:r>
              <w:rPr>
                <w:noProof/>
                <w:webHidden/>
              </w:rPr>
              <w:fldChar w:fldCharType="separate"/>
            </w:r>
            <w:r>
              <w:rPr>
                <w:noProof/>
                <w:webHidden/>
              </w:rPr>
              <w:t>66</w:t>
            </w:r>
            <w:r>
              <w:rPr>
                <w:noProof/>
                <w:webHidden/>
              </w:rPr>
              <w:fldChar w:fldCharType="end"/>
            </w:r>
          </w:hyperlink>
        </w:p>
        <w:p w14:paraId="4CBDAF65" w14:textId="60CA042F"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4" w:history="1">
            <w:r w:rsidRPr="00B80C39">
              <w:rPr>
                <w:rStyle w:val="Hyperlink"/>
                <w:noProof/>
                <w:lang w:val="x-none" w:eastAsia="x-none" w:bidi="x-none"/>
              </w:rPr>
              <w:t>6.2.10</w:t>
            </w:r>
            <w:r>
              <w:rPr>
                <w:rFonts w:asciiTheme="minorHAnsi" w:eastAsiaTheme="minorEastAsia" w:hAnsiTheme="minorHAnsi" w:cstheme="minorBidi"/>
                <w:noProof/>
                <w:kern w:val="2"/>
                <w:lang w:eastAsia="de-CH"/>
                <w14:ligatures w14:val="standardContextual"/>
              </w:rPr>
              <w:tab/>
            </w:r>
            <w:r w:rsidRPr="00B80C39">
              <w:rPr>
                <w:rStyle w:val="Hyperlink"/>
                <w:noProof/>
              </w:rPr>
              <w:t>Vergütungspolitik- und praxis (GOV-10)</w:t>
            </w:r>
            <w:r>
              <w:rPr>
                <w:noProof/>
                <w:webHidden/>
              </w:rPr>
              <w:tab/>
            </w:r>
            <w:r>
              <w:rPr>
                <w:noProof/>
                <w:webHidden/>
              </w:rPr>
              <w:fldChar w:fldCharType="begin"/>
            </w:r>
            <w:r>
              <w:rPr>
                <w:noProof/>
                <w:webHidden/>
              </w:rPr>
              <w:instrText xml:space="preserve"> PAGEREF _Toc216425814 \h </w:instrText>
            </w:r>
            <w:r>
              <w:rPr>
                <w:noProof/>
                <w:webHidden/>
              </w:rPr>
            </w:r>
            <w:r>
              <w:rPr>
                <w:noProof/>
                <w:webHidden/>
              </w:rPr>
              <w:fldChar w:fldCharType="separate"/>
            </w:r>
            <w:r>
              <w:rPr>
                <w:noProof/>
                <w:webHidden/>
              </w:rPr>
              <w:t>68</w:t>
            </w:r>
            <w:r>
              <w:rPr>
                <w:noProof/>
                <w:webHidden/>
              </w:rPr>
              <w:fldChar w:fldCharType="end"/>
            </w:r>
          </w:hyperlink>
        </w:p>
        <w:p w14:paraId="23FE827F" w14:textId="04995D45"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5" w:history="1">
            <w:r w:rsidRPr="00B80C39">
              <w:rPr>
                <w:rStyle w:val="Hyperlink"/>
                <w:noProof/>
                <w:lang w:val="x-none" w:eastAsia="x-none" w:bidi="x-none"/>
              </w:rPr>
              <w:t>6.2.11</w:t>
            </w:r>
            <w:r>
              <w:rPr>
                <w:rFonts w:asciiTheme="minorHAnsi" w:eastAsiaTheme="minorEastAsia" w:hAnsiTheme="minorHAnsi" w:cstheme="minorBidi"/>
                <w:noProof/>
                <w:kern w:val="2"/>
                <w:lang w:eastAsia="de-CH"/>
                <w14:ligatures w14:val="standardContextual"/>
              </w:rPr>
              <w:tab/>
            </w:r>
            <w:r w:rsidRPr="00B80C39">
              <w:rPr>
                <w:rStyle w:val="Hyperlink"/>
                <w:noProof/>
              </w:rPr>
              <w:t>Offenlegung (GOV-11)</w:t>
            </w:r>
            <w:r>
              <w:rPr>
                <w:noProof/>
                <w:webHidden/>
              </w:rPr>
              <w:tab/>
            </w:r>
            <w:r>
              <w:rPr>
                <w:noProof/>
                <w:webHidden/>
              </w:rPr>
              <w:fldChar w:fldCharType="begin"/>
            </w:r>
            <w:r>
              <w:rPr>
                <w:noProof/>
                <w:webHidden/>
              </w:rPr>
              <w:instrText xml:space="preserve"> PAGEREF _Toc216425815 \h </w:instrText>
            </w:r>
            <w:r>
              <w:rPr>
                <w:noProof/>
                <w:webHidden/>
              </w:rPr>
            </w:r>
            <w:r>
              <w:rPr>
                <w:noProof/>
                <w:webHidden/>
              </w:rPr>
              <w:fldChar w:fldCharType="separate"/>
            </w:r>
            <w:r>
              <w:rPr>
                <w:noProof/>
                <w:webHidden/>
              </w:rPr>
              <w:t>69</w:t>
            </w:r>
            <w:r>
              <w:rPr>
                <w:noProof/>
                <w:webHidden/>
              </w:rPr>
              <w:fldChar w:fldCharType="end"/>
            </w:r>
          </w:hyperlink>
        </w:p>
        <w:p w14:paraId="75E0FC94" w14:textId="17D8841E"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16" w:history="1">
            <w:r w:rsidRPr="00B80C39">
              <w:rPr>
                <w:rStyle w:val="Hyperlink"/>
                <w:noProof/>
                <w:lang w:val="x-none" w:eastAsia="x-none" w:bidi="x-none"/>
              </w:rPr>
              <w:t>6.2.12</w:t>
            </w:r>
            <w:r>
              <w:rPr>
                <w:rFonts w:asciiTheme="minorHAnsi" w:eastAsiaTheme="minorEastAsia" w:hAnsiTheme="minorHAnsi" w:cstheme="minorBidi"/>
                <w:noProof/>
                <w:kern w:val="2"/>
                <w:lang w:eastAsia="de-CH"/>
                <w14:ligatures w14:val="standardContextual"/>
              </w:rPr>
              <w:tab/>
            </w:r>
            <w:r w:rsidRPr="00B80C39">
              <w:rPr>
                <w:rStyle w:val="Hyperlink"/>
                <w:noProof/>
              </w:rPr>
              <w:t>Digitale opera</w:t>
            </w:r>
            <w:r w:rsidRPr="00B80C39">
              <w:rPr>
                <w:rStyle w:val="Hyperlink"/>
                <w:noProof/>
              </w:rPr>
              <w:t>t</w:t>
            </w:r>
            <w:r w:rsidRPr="00B80C39">
              <w:rPr>
                <w:rStyle w:val="Hyperlink"/>
                <w:noProof/>
              </w:rPr>
              <w:t>ionale Resilienz (GOV-12)</w:t>
            </w:r>
            <w:r>
              <w:rPr>
                <w:noProof/>
                <w:webHidden/>
              </w:rPr>
              <w:tab/>
            </w:r>
            <w:r>
              <w:rPr>
                <w:noProof/>
                <w:webHidden/>
              </w:rPr>
              <w:fldChar w:fldCharType="begin"/>
            </w:r>
            <w:r>
              <w:rPr>
                <w:noProof/>
                <w:webHidden/>
              </w:rPr>
              <w:instrText xml:space="preserve"> PAGEREF _Toc216425816 \h </w:instrText>
            </w:r>
            <w:r>
              <w:rPr>
                <w:noProof/>
                <w:webHidden/>
              </w:rPr>
            </w:r>
            <w:r>
              <w:rPr>
                <w:noProof/>
                <w:webHidden/>
              </w:rPr>
              <w:fldChar w:fldCharType="separate"/>
            </w:r>
            <w:r>
              <w:rPr>
                <w:noProof/>
                <w:webHidden/>
              </w:rPr>
              <w:t>70</w:t>
            </w:r>
            <w:r>
              <w:rPr>
                <w:noProof/>
                <w:webHidden/>
              </w:rPr>
              <w:fldChar w:fldCharType="end"/>
            </w:r>
          </w:hyperlink>
        </w:p>
        <w:p w14:paraId="5346ADAE" w14:textId="0EEBE383"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17" w:history="1">
            <w:r w:rsidRPr="00B80C39">
              <w:rPr>
                <w:rStyle w:val="Hyperlink"/>
                <w:noProof/>
              </w:rPr>
              <w:t>6.3</w:t>
            </w:r>
            <w:r>
              <w:rPr>
                <w:rFonts w:asciiTheme="minorHAnsi" w:eastAsiaTheme="minorEastAsia" w:hAnsiTheme="minorHAnsi" w:cstheme="minorBidi"/>
                <w:noProof/>
                <w:kern w:val="2"/>
                <w:lang w:eastAsia="de-CH"/>
                <w14:ligatures w14:val="standardContextual"/>
              </w:rPr>
              <w:tab/>
            </w:r>
            <w:r w:rsidRPr="00B80C39">
              <w:rPr>
                <w:rStyle w:val="Hyperlink"/>
                <w:noProof/>
              </w:rPr>
              <w:t>ICAAP (ICA-1)</w:t>
            </w:r>
            <w:r>
              <w:rPr>
                <w:noProof/>
                <w:webHidden/>
              </w:rPr>
              <w:tab/>
            </w:r>
            <w:r>
              <w:rPr>
                <w:noProof/>
                <w:webHidden/>
              </w:rPr>
              <w:fldChar w:fldCharType="begin"/>
            </w:r>
            <w:r>
              <w:rPr>
                <w:noProof/>
                <w:webHidden/>
              </w:rPr>
              <w:instrText xml:space="preserve"> PAGEREF _Toc216425817 \h </w:instrText>
            </w:r>
            <w:r>
              <w:rPr>
                <w:noProof/>
                <w:webHidden/>
              </w:rPr>
            </w:r>
            <w:r>
              <w:rPr>
                <w:noProof/>
                <w:webHidden/>
              </w:rPr>
              <w:fldChar w:fldCharType="separate"/>
            </w:r>
            <w:r>
              <w:rPr>
                <w:noProof/>
                <w:webHidden/>
              </w:rPr>
              <w:t>76</w:t>
            </w:r>
            <w:r>
              <w:rPr>
                <w:noProof/>
                <w:webHidden/>
              </w:rPr>
              <w:fldChar w:fldCharType="end"/>
            </w:r>
          </w:hyperlink>
        </w:p>
        <w:p w14:paraId="5981C60C" w14:textId="7E692C23"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18" w:history="1">
            <w:r w:rsidRPr="00B80C39">
              <w:rPr>
                <w:rStyle w:val="Hyperlink"/>
                <w:noProof/>
              </w:rPr>
              <w:t>6.4</w:t>
            </w:r>
            <w:r>
              <w:rPr>
                <w:rFonts w:asciiTheme="minorHAnsi" w:eastAsiaTheme="minorEastAsia" w:hAnsiTheme="minorHAnsi" w:cstheme="minorBidi"/>
                <w:noProof/>
                <w:kern w:val="2"/>
                <w:lang w:eastAsia="de-CH"/>
                <w14:ligatures w14:val="standardContextual"/>
              </w:rPr>
              <w:tab/>
            </w:r>
            <w:r w:rsidRPr="00B80C39">
              <w:rPr>
                <w:rStyle w:val="Hyperlink"/>
                <w:noProof/>
              </w:rPr>
              <w:t>ILAAP (ILA-1)</w:t>
            </w:r>
            <w:r>
              <w:rPr>
                <w:noProof/>
                <w:webHidden/>
              </w:rPr>
              <w:tab/>
            </w:r>
            <w:r>
              <w:rPr>
                <w:noProof/>
                <w:webHidden/>
              </w:rPr>
              <w:fldChar w:fldCharType="begin"/>
            </w:r>
            <w:r>
              <w:rPr>
                <w:noProof/>
                <w:webHidden/>
              </w:rPr>
              <w:instrText xml:space="preserve"> PAGEREF _Toc216425818 \h </w:instrText>
            </w:r>
            <w:r>
              <w:rPr>
                <w:noProof/>
                <w:webHidden/>
              </w:rPr>
            </w:r>
            <w:r>
              <w:rPr>
                <w:noProof/>
                <w:webHidden/>
              </w:rPr>
              <w:fldChar w:fldCharType="separate"/>
            </w:r>
            <w:r>
              <w:rPr>
                <w:noProof/>
                <w:webHidden/>
              </w:rPr>
              <w:t>79</w:t>
            </w:r>
            <w:r>
              <w:rPr>
                <w:noProof/>
                <w:webHidden/>
              </w:rPr>
              <w:fldChar w:fldCharType="end"/>
            </w:r>
          </w:hyperlink>
        </w:p>
        <w:p w14:paraId="6297B265" w14:textId="5DC9B580"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19" w:history="1">
            <w:r w:rsidRPr="00B80C39">
              <w:rPr>
                <w:rStyle w:val="Hyperlink"/>
                <w:noProof/>
              </w:rPr>
              <w:t>6.5</w:t>
            </w:r>
            <w:r>
              <w:rPr>
                <w:rFonts w:asciiTheme="minorHAnsi" w:eastAsiaTheme="minorEastAsia" w:hAnsiTheme="minorHAnsi" w:cstheme="minorBidi"/>
                <w:noProof/>
                <w:kern w:val="2"/>
                <w:lang w:eastAsia="de-CH"/>
                <w14:ligatures w14:val="standardContextual"/>
              </w:rPr>
              <w:tab/>
            </w:r>
            <w:r w:rsidRPr="00B80C39">
              <w:rPr>
                <w:rStyle w:val="Hyperlink"/>
                <w:noProof/>
              </w:rPr>
              <w:t>Andere Vorschriften</w:t>
            </w:r>
            <w:r>
              <w:rPr>
                <w:noProof/>
                <w:webHidden/>
              </w:rPr>
              <w:tab/>
            </w:r>
            <w:r>
              <w:rPr>
                <w:noProof/>
                <w:webHidden/>
              </w:rPr>
              <w:fldChar w:fldCharType="begin"/>
            </w:r>
            <w:r>
              <w:rPr>
                <w:noProof/>
                <w:webHidden/>
              </w:rPr>
              <w:instrText xml:space="preserve"> PAGEREF _Toc216425819 \h </w:instrText>
            </w:r>
            <w:r>
              <w:rPr>
                <w:noProof/>
                <w:webHidden/>
              </w:rPr>
            </w:r>
            <w:r>
              <w:rPr>
                <w:noProof/>
                <w:webHidden/>
              </w:rPr>
              <w:fldChar w:fldCharType="separate"/>
            </w:r>
            <w:r>
              <w:rPr>
                <w:noProof/>
                <w:webHidden/>
              </w:rPr>
              <w:t>82</w:t>
            </w:r>
            <w:r>
              <w:rPr>
                <w:noProof/>
                <w:webHidden/>
              </w:rPr>
              <w:fldChar w:fldCharType="end"/>
            </w:r>
          </w:hyperlink>
        </w:p>
        <w:p w14:paraId="70A3A614" w14:textId="50687AB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0" w:history="1">
            <w:r w:rsidRPr="00B80C39">
              <w:rPr>
                <w:rStyle w:val="Hyperlink"/>
                <w:noProof/>
                <w:lang w:val="x-none" w:eastAsia="x-none" w:bidi="x-none"/>
              </w:rPr>
              <w:t>6.5.1</w:t>
            </w:r>
            <w:r>
              <w:rPr>
                <w:rFonts w:asciiTheme="minorHAnsi" w:eastAsiaTheme="minorEastAsia" w:hAnsiTheme="minorHAnsi" w:cstheme="minorBidi"/>
                <w:noProof/>
                <w:kern w:val="2"/>
                <w:lang w:eastAsia="de-CH"/>
                <w14:ligatures w14:val="standardContextual"/>
              </w:rPr>
              <w:tab/>
            </w:r>
            <w:r w:rsidRPr="00B80C39">
              <w:rPr>
                <w:rStyle w:val="Hyperlink"/>
                <w:noProof/>
              </w:rPr>
              <w:t>Konsolidierung nach CRR (And-1)</w:t>
            </w:r>
            <w:r>
              <w:rPr>
                <w:noProof/>
                <w:webHidden/>
              </w:rPr>
              <w:tab/>
            </w:r>
            <w:r>
              <w:rPr>
                <w:noProof/>
                <w:webHidden/>
              </w:rPr>
              <w:fldChar w:fldCharType="begin"/>
            </w:r>
            <w:r>
              <w:rPr>
                <w:noProof/>
                <w:webHidden/>
              </w:rPr>
              <w:instrText xml:space="preserve"> PAGEREF _Toc216425820 \h </w:instrText>
            </w:r>
            <w:r>
              <w:rPr>
                <w:noProof/>
                <w:webHidden/>
              </w:rPr>
            </w:r>
            <w:r>
              <w:rPr>
                <w:noProof/>
                <w:webHidden/>
              </w:rPr>
              <w:fldChar w:fldCharType="separate"/>
            </w:r>
            <w:r>
              <w:rPr>
                <w:noProof/>
                <w:webHidden/>
              </w:rPr>
              <w:t>82</w:t>
            </w:r>
            <w:r>
              <w:rPr>
                <w:noProof/>
                <w:webHidden/>
              </w:rPr>
              <w:fldChar w:fldCharType="end"/>
            </w:r>
          </w:hyperlink>
        </w:p>
        <w:p w14:paraId="512741DA" w14:textId="3F579B05"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1" w:history="1">
            <w:r w:rsidRPr="00B80C39">
              <w:rPr>
                <w:rStyle w:val="Hyperlink"/>
                <w:noProof/>
                <w:lang w:val="x-none" w:eastAsia="x-none" w:bidi="x-none"/>
              </w:rPr>
              <w:t>6.5.2</w:t>
            </w:r>
            <w:r>
              <w:rPr>
                <w:rFonts w:asciiTheme="minorHAnsi" w:eastAsiaTheme="minorEastAsia" w:hAnsiTheme="minorHAnsi" w:cstheme="minorBidi"/>
                <w:noProof/>
                <w:kern w:val="2"/>
                <w:lang w:eastAsia="de-CH"/>
                <w14:ligatures w14:val="standardContextual"/>
              </w:rPr>
              <w:tab/>
            </w:r>
            <w:r w:rsidRPr="00B80C39">
              <w:rPr>
                <w:rStyle w:val="Hyperlink"/>
                <w:noProof/>
              </w:rPr>
              <w:t>Wertpapier- und Nebendienstleistungen (And-2)</w:t>
            </w:r>
            <w:r>
              <w:rPr>
                <w:noProof/>
                <w:webHidden/>
              </w:rPr>
              <w:tab/>
            </w:r>
            <w:r>
              <w:rPr>
                <w:noProof/>
                <w:webHidden/>
              </w:rPr>
              <w:fldChar w:fldCharType="begin"/>
            </w:r>
            <w:r>
              <w:rPr>
                <w:noProof/>
                <w:webHidden/>
              </w:rPr>
              <w:instrText xml:space="preserve"> PAGEREF _Toc216425821 \h </w:instrText>
            </w:r>
            <w:r>
              <w:rPr>
                <w:noProof/>
                <w:webHidden/>
              </w:rPr>
            </w:r>
            <w:r>
              <w:rPr>
                <w:noProof/>
                <w:webHidden/>
              </w:rPr>
              <w:fldChar w:fldCharType="separate"/>
            </w:r>
            <w:r>
              <w:rPr>
                <w:noProof/>
                <w:webHidden/>
              </w:rPr>
              <w:t>83</w:t>
            </w:r>
            <w:r>
              <w:rPr>
                <w:noProof/>
                <w:webHidden/>
              </w:rPr>
              <w:fldChar w:fldCharType="end"/>
            </w:r>
          </w:hyperlink>
        </w:p>
        <w:p w14:paraId="6A163A4F" w14:textId="00357B87"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2" w:history="1">
            <w:r w:rsidRPr="00B80C39">
              <w:rPr>
                <w:rStyle w:val="Hyperlink"/>
                <w:noProof/>
                <w:lang w:val="x-none" w:eastAsia="x-none" w:bidi="x-none"/>
              </w:rPr>
              <w:t>6.5.3</w:t>
            </w:r>
            <w:r>
              <w:rPr>
                <w:rFonts w:asciiTheme="minorHAnsi" w:eastAsiaTheme="minorEastAsia" w:hAnsiTheme="minorHAnsi" w:cstheme="minorBidi"/>
                <w:noProof/>
                <w:kern w:val="2"/>
                <w:lang w:eastAsia="de-CH"/>
                <w14:ligatures w14:val="standardContextual"/>
              </w:rPr>
              <w:tab/>
            </w:r>
            <w:r w:rsidRPr="00B80C39">
              <w:rPr>
                <w:rStyle w:val="Hyperlink"/>
                <w:noProof/>
              </w:rPr>
              <w:t>Sanierungsplanung (And-3)</w:t>
            </w:r>
            <w:r>
              <w:rPr>
                <w:noProof/>
                <w:webHidden/>
              </w:rPr>
              <w:tab/>
            </w:r>
            <w:r>
              <w:rPr>
                <w:noProof/>
                <w:webHidden/>
              </w:rPr>
              <w:fldChar w:fldCharType="begin"/>
            </w:r>
            <w:r>
              <w:rPr>
                <w:noProof/>
                <w:webHidden/>
              </w:rPr>
              <w:instrText xml:space="preserve"> PAGEREF _Toc216425822 \h </w:instrText>
            </w:r>
            <w:r>
              <w:rPr>
                <w:noProof/>
                <w:webHidden/>
              </w:rPr>
            </w:r>
            <w:r>
              <w:rPr>
                <w:noProof/>
                <w:webHidden/>
              </w:rPr>
              <w:fldChar w:fldCharType="separate"/>
            </w:r>
            <w:r>
              <w:rPr>
                <w:noProof/>
                <w:webHidden/>
              </w:rPr>
              <w:t>86</w:t>
            </w:r>
            <w:r>
              <w:rPr>
                <w:noProof/>
                <w:webHidden/>
              </w:rPr>
              <w:fldChar w:fldCharType="end"/>
            </w:r>
          </w:hyperlink>
        </w:p>
        <w:p w14:paraId="71C7DB09" w14:textId="45D8963D"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3" w:history="1">
            <w:r w:rsidRPr="00B80C39">
              <w:rPr>
                <w:rStyle w:val="Hyperlink"/>
                <w:noProof/>
                <w:lang w:val="x-none" w:eastAsia="x-none" w:bidi="x-none"/>
              </w:rPr>
              <w:t>6.5.4</w:t>
            </w:r>
            <w:r>
              <w:rPr>
                <w:rFonts w:asciiTheme="minorHAnsi" w:eastAsiaTheme="minorEastAsia" w:hAnsiTheme="minorHAnsi" w:cstheme="minorBidi"/>
                <w:noProof/>
                <w:kern w:val="2"/>
                <w:lang w:eastAsia="de-CH"/>
                <w14:ligatures w14:val="standardContextual"/>
              </w:rPr>
              <w:tab/>
            </w:r>
            <w:r w:rsidRPr="00B80C39">
              <w:rPr>
                <w:rStyle w:val="Hyperlink"/>
                <w:noProof/>
              </w:rPr>
              <w:t>Zahlungsdienstrichtlinie (PSD II) (And-4)</w:t>
            </w:r>
            <w:r>
              <w:rPr>
                <w:noProof/>
                <w:webHidden/>
              </w:rPr>
              <w:tab/>
            </w:r>
            <w:r>
              <w:rPr>
                <w:noProof/>
                <w:webHidden/>
              </w:rPr>
              <w:fldChar w:fldCharType="begin"/>
            </w:r>
            <w:r>
              <w:rPr>
                <w:noProof/>
                <w:webHidden/>
              </w:rPr>
              <w:instrText xml:space="preserve"> PAGEREF _Toc216425823 \h </w:instrText>
            </w:r>
            <w:r>
              <w:rPr>
                <w:noProof/>
                <w:webHidden/>
              </w:rPr>
            </w:r>
            <w:r>
              <w:rPr>
                <w:noProof/>
                <w:webHidden/>
              </w:rPr>
              <w:fldChar w:fldCharType="separate"/>
            </w:r>
            <w:r>
              <w:rPr>
                <w:noProof/>
                <w:webHidden/>
              </w:rPr>
              <w:t>87</w:t>
            </w:r>
            <w:r>
              <w:rPr>
                <w:noProof/>
                <w:webHidden/>
              </w:rPr>
              <w:fldChar w:fldCharType="end"/>
            </w:r>
          </w:hyperlink>
        </w:p>
        <w:p w14:paraId="1B2AEF85" w14:textId="5C508BC4"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4" w:history="1">
            <w:r w:rsidRPr="00B80C39">
              <w:rPr>
                <w:rStyle w:val="Hyperlink"/>
                <w:noProof/>
                <w:lang w:val="x-none" w:eastAsia="x-none" w:bidi="x-none"/>
              </w:rPr>
              <w:t>6.5.5</w:t>
            </w:r>
            <w:r>
              <w:rPr>
                <w:rFonts w:asciiTheme="minorHAnsi" w:eastAsiaTheme="minorEastAsia" w:hAnsiTheme="minorHAnsi" w:cstheme="minorBidi"/>
                <w:noProof/>
                <w:kern w:val="2"/>
                <w:lang w:eastAsia="de-CH"/>
                <w14:ligatures w14:val="standardContextual"/>
              </w:rPr>
              <w:tab/>
            </w:r>
            <w:r w:rsidRPr="00B80C39">
              <w:rPr>
                <w:rStyle w:val="Hyperlink"/>
                <w:noProof/>
              </w:rPr>
              <w:t>Verhinderung und Überwachung von Marktmissbrauch gemäss MAR und MiCAR* (And-5)</w:t>
            </w:r>
            <w:r>
              <w:rPr>
                <w:noProof/>
                <w:webHidden/>
              </w:rPr>
              <w:tab/>
            </w:r>
            <w:r>
              <w:rPr>
                <w:noProof/>
                <w:webHidden/>
              </w:rPr>
              <w:fldChar w:fldCharType="begin"/>
            </w:r>
            <w:r>
              <w:rPr>
                <w:noProof/>
                <w:webHidden/>
              </w:rPr>
              <w:instrText xml:space="preserve"> PAGEREF _Toc216425824 \h </w:instrText>
            </w:r>
            <w:r>
              <w:rPr>
                <w:noProof/>
                <w:webHidden/>
              </w:rPr>
            </w:r>
            <w:r>
              <w:rPr>
                <w:noProof/>
                <w:webHidden/>
              </w:rPr>
              <w:fldChar w:fldCharType="separate"/>
            </w:r>
            <w:r>
              <w:rPr>
                <w:noProof/>
                <w:webHidden/>
              </w:rPr>
              <w:t>89</w:t>
            </w:r>
            <w:r>
              <w:rPr>
                <w:noProof/>
                <w:webHidden/>
              </w:rPr>
              <w:fldChar w:fldCharType="end"/>
            </w:r>
          </w:hyperlink>
        </w:p>
        <w:p w14:paraId="59336F8C" w14:textId="68B9817F"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25" w:history="1">
            <w:r w:rsidRPr="00B80C39">
              <w:rPr>
                <w:rStyle w:val="Hyperlink"/>
                <w:noProof/>
              </w:rPr>
              <w:t>6.6</w:t>
            </w:r>
            <w:r>
              <w:rPr>
                <w:rFonts w:asciiTheme="minorHAnsi" w:eastAsiaTheme="minorEastAsia" w:hAnsiTheme="minorHAnsi" w:cstheme="minorBidi"/>
                <w:noProof/>
                <w:kern w:val="2"/>
                <w:lang w:eastAsia="de-CH"/>
                <w14:ligatures w14:val="standardContextual"/>
              </w:rPr>
              <w:tab/>
            </w:r>
            <w:r w:rsidRPr="00B80C39">
              <w:rPr>
                <w:rStyle w:val="Hyperlink"/>
                <w:noProof/>
              </w:rPr>
              <w:t>Prüfresultate der bewilligten (gemischten) Finanzholdinggesellschaft auf Einzelbasis</w:t>
            </w:r>
            <w:r>
              <w:rPr>
                <w:noProof/>
                <w:webHidden/>
              </w:rPr>
              <w:tab/>
            </w:r>
            <w:r>
              <w:rPr>
                <w:noProof/>
                <w:webHidden/>
              </w:rPr>
              <w:fldChar w:fldCharType="begin"/>
            </w:r>
            <w:r>
              <w:rPr>
                <w:noProof/>
                <w:webHidden/>
              </w:rPr>
              <w:instrText xml:space="preserve"> PAGEREF _Toc216425825 \h </w:instrText>
            </w:r>
            <w:r>
              <w:rPr>
                <w:noProof/>
                <w:webHidden/>
              </w:rPr>
            </w:r>
            <w:r>
              <w:rPr>
                <w:noProof/>
                <w:webHidden/>
              </w:rPr>
              <w:fldChar w:fldCharType="separate"/>
            </w:r>
            <w:r>
              <w:rPr>
                <w:noProof/>
                <w:webHidden/>
              </w:rPr>
              <w:t>92</w:t>
            </w:r>
            <w:r>
              <w:rPr>
                <w:noProof/>
                <w:webHidden/>
              </w:rPr>
              <w:fldChar w:fldCharType="end"/>
            </w:r>
          </w:hyperlink>
        </w:p>
        <w:p w14:paraId="254B2A79" w14:textId="21BC4434"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6" w:history="1">
            <w:r w:rsidRPr="00B80C39">
              <w:rPr>
                <w:rStyle w:val="Hyperlink"/>
                <w:noProof/>
                <w:lang w:val="x-none" w:eastAsia="x-none" w:bidi="x-none"/>
              </w:rPr>
              <w:t>6.6.1</w:t>
            </w:r>
            <w:r>
              <w:rPr>
                <w:rFonts w:asciiTheme="minorHAnsi" w:eastAsiaTheme="minorEastAsia" w:hAnsiTheme="minorHAnsi" w:cstheme="minorBidi"/>
                <w:noProof/>
                <w:kern w:val="2"/>
                <w:lang w:eastAsia="de-CH"/>
                <w14:ligatures w14:val="standardContextual"/>
              </w:rPr>
              <w:tab/>
            </w:r>
            <w:r w:rsidRPr="00B80C39">
              <w:rPr>
                <w:rStyle w:val="Hyperlink"/>
                <w:noProof/>
              </w:rPr>
              <w:t>Gruppeninterne Steuerung &amp; Koordination</w:t>
            </w:r>
            <w:r>
              <w:rPr>
                <w:noProof/>
                <w:webHidden/>
              </w:rPr>
              <w:tab/>
            </w:r>
            <w:r>
              <w:rPr>
                <w:noProof/>
                <w:webHidden/>
              </w:rPr>
              <w:fldChar w:fldCharType="begin"/>
            </w:r>
            <w:r>
              <w:rPr>
                <w:noProof/>
                <w:webHidden/>
              </w:rPr>
              <w:instrText xml:space="preserve"> PAGEREF _Toc216425826 \h </w:instrText>
            </w:r>
            <w:r>
              <w:rPr>
                <w:noProof/>
                <w:webHidden/>
              </w:rPr>
            </w:r>
            <w:r>
              <w:rPr>
                <w:noProof/>
                <w:webHidden/>
              </w:rPr>
              <w:fldChar w:fldCharType="separate"/>
            </w:r>
            <w:r>
              <w:rPr>
                <w:noProof/>
                <w:webHidden/>
              </w:rPr>
              <w:t>92</w:t>
            </w:r>
            <w:r>
              <w:rPr>
                <w:noProof/>
                <w:webHidden/>
              </w:rPr>
              <w:fldChar w:fldCharType="end"/>
            </w:r>
          </w:hyperlink>
        </w:p>
        <w:p w14:paraId="4FA92AEA" w14:textId="3839B8CA"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7" w:history="1">
            <w:r w:rsidRPr="00B80C39">
              <w:rPr>
                <w:rStyle w:val="Hyperlink"/>
                <w:noProof/>
                <w:lang w:val="x-none" w:eastAsia="x-none" w:bidi="x-none"/>
              </w:rPr>
              <w:t>6.6.2</w:t>
            </w:r>
            <w:r>
              <w:rPr>
                <w:rFonts w:asciiTheme="minorHAnsi" w:eastAsiaTheme="minorEastAsia" w:hAnsiTheme="minorHAnsi" w:cstheme="minorBidi"/>
                <w:noProof/>
                <w:kern w:val="2"/>
                <w:lang w:eastAsia="de-CH"/>
                <w14:ligatures w14:val="standardContextual"/>
              </w:rPr>
              <w:tab/>
            </w:r>
            <w:r w:rsidRPr="00B80C39">
              <w:rPr>
                <w:rStyle w:val="Hyperlink"/>
                <w:noProof/>
              </w:rPr>
              <w:t>Gewähr der Personen, die die Geschäfte der bewilligten (gemischten) Finanzholdinggesellschaft tatsächlich führen</w:t>
            </w:r>
            <w:r>
              <w:rPr>
                <w:noProof/>
                <w:webHidden/>
              </w:rPr>
              <w:tab/>
            </w:r>
            <w:r>
              <w:rPr>
                <w:noProof/>
                <w:webHidden/>
              </w:rPr>
              <w:fldChar w:fldCharType="begin"/>
            </w:r>
            <w:r>
              <w:rPr>
                <w:noProof/>
                <w:webHidden/>
              </w:rPr>
              <w:instrText xml:space="preserve"> PAGEREF _Toc216425827 \h </w:instrText>
            </w:r>
            <w:r>
              <w:rPr>
                <w:noProof/>
                <w:webHidden/>
              </w:rPr>
            </w:r>
            <w:r>
              <w:rPr>
                <w:noProof/>
                <w:webHidden/>
              </w:rPr>
              <w:fldChar w:fldCharType="separate"/>
            </w:r>
            <w:r>
              <w:rPr>
                <w:noProof/>
                <w:webHidden/>
              </w:rPr>
              <w:t>93</w:t>
            </w:r>
            <w:r>
              <w:rPr>
                <w:noProof/>
                <w:webHidden/>
              </w:rPr>
              <w:fldChar w:fldCharType="end"/>
            </w:r>
          </w:hyperlink>
        </w:p>
        <w:p w14:paraId="27E02D60" w14:textId="684CD0DB" w:rsidR="009E4FE7" w:rsidRDefault="009E4FE7">
          <w:pPr>
            <w:pStyle w:val="Verzeichnis3"/>
            <w:rPr>
              <w:rFonts w:asciiTheme="minorHAnsi" w:eastAsiaTheme="minorEastAsia" w:hAnsiTheme="minorHAnsi" w:cstheme="minorBidi"/>
              <w:noProof/>
              <w:kern w:val="2"/>
              <w:lang w:eastAsia="de-CH"/>
              <w14:ligatures w14:val="standardContextual"/>
            </w:rPr>
          </w:pPr>
          <w:hyperlink w:anchor="_Toc216425828" w:history="1">
            <w:r w:rsidRPr="00B80C39">
              <w:rPr>
                <w:rStyle w:val="Hyperlink"/>
                <w:noProof/>
                <w:lang w:val="x-none" w:eastAsia="x-none" w:bidi="x-none"/>
              </w:rPr>
              <w:t>6.6.3</w:t>
            </w:r>
            <w:r>
              <w:rPr>
                <w:rFonts w:asciiTheme="minorHAnsi" w:eastAsiaTheme="minorEastAsia" w:hAnsiTheme="minorHAnsi" w:cstheme="minorBidi"/>
                <w:noProof/>
                <w:kern w:val="2"/>
                <w:lang w:eastAsia="de-CH"/>
                <w14:ligatures w14:val="standardContextual"/>
              </w:rPr>
              <w:tab/>
            </w:r>
            <w:r w:rsidRPr="00B80C39">
              <w:rPr>
                <w:rStyle w:val="Hyperlink"/>
                <w:noProof/>
              </w:rPr>
              <w:t>Auslagerung</w:t>
            </w:r>
            <w:r>
              <w:rPr>
                <w:noProof/>
                <w:webHidden/>
              </w:rPr>
              <w:tab/>
            </w:r>
            <w:r>
              <w:rPr>
                <w:noProof/>
                <w:webHidden/>
              </w:rPr>
              <w:fldChar w:fldCharType="begin"/>
            </w:r>
            <w:r>
              <w:rPr>
                <w:noProof/>
                <w:webHidden/>
              </w:rPr>
              <w:instrText xml:space="preserve"> PAGEREF _Toc216425828 \h </w:instrText>
            </w:r>
            <w:r>
              <w:rPr>
                <w:noProof/>
                <w:webHidden/>
              </w:rPr>
            </w:r>
            <w:r>
              <w:rPr>
                <w:noProof/>
                <w:webHidden/>
              </w:rPr>
              <w:fldChar w:fldCharType="separate"/>
            </w:r>
            <w:r>
              <w:rPr>
                <w:noProof/>
                <w:webHidden/>
              </w:rPr>
              <w:t>94</w:t>
            </w:r>
            <w:r>
              <w:rPr>
                <w:noProof/>
                <w:webHidden/>
              </w:rPr>
              <w:fldChar w:fldCharType="end"/>
            </w:r>
          </w:hyperlink>
        </w:p>
        <w:p w14:paraId="5E397199" w14:textId="0CD1DFC6" w:rsidR="009E4FE7" w:rsidRDefault="009E4FE7">
          <w:pPr>
            <w:pStyle w:val="Verzeichnis2"/>
            <w:rPr>
              <w:rFonts w:asciiTheme="minorHAnsi" w:eastAsiaTheme="minorEastAsia" w:hAnsiTheme="minorHAnsi" w:cstheme="minorBidi"/>
              <w:noProof/>
              <w:kern w:val="2"/>
              <w:lang w:eastAsia="de-CH"/>
              <w14:ligatures w14:val="standardContextual"/>
            </w:rPr>
          </w:pPr>
          <w:hyperlink w:anchor="_Toc216425829" w:history="1">
            <w:r w:rsidRPr="00B80C39">
              <w:rPr>
                <w:rStyle w:val="Hyperlink"/>
                <w:noProof/>
              </w:rPr>
              <w:t>6.7</w:t>
            </w:r>
            <w:r>
              <w:rPr>
                <w:rFonts w:asciiTheme="minorHAnsi" w:eastAsiaTheme="minorEastAsia" w:hAnsiTheme="minorHAnsi" w:cstheme="minorBidi"/>
                <w:noProof/>
                <w:kern w:val="2"/>
                <w:lang w:eastAsia="de-CH"/>
                <w14:ligatures w14:val="standardContextual"/>
              </w:rPr>
              <w:tab/>
            </w:r>
            <w:r w:rsidRPr="00B80C39">
              <w:rPr>
                <w:rStyle w:val="Hyperlink"/>
                <w:noProof/>
              </w:rPr>
              <w:t>Prüfresultate aus von der FMA Liechtenstein zusätzlich festgelegten Prüfgebieten / Risikoarten bzw. Prüffelder</w:t>
            </w:r>
            <w:r>
              <w:rPr>
                <w:noProof/>
                <w:webHidden/>
              </w:rPr>
              <w:tab/>
            </w:r>
            <w:r>
              <w:rPr>
                <w:noProof/>
                <w:webHidden/>
              </w:rPr>
              <w:fldChar w:fldCharType="begin"/>
            </w:r>
            <w:r>
              <w:rPr>
                <w:noProof/>
                <w:webHidden/>
              </w:rPr>
              <w:instrText xml:space="preserve"> PAGEREF _Toc216425829 \h </w:instrText>
            </w:r>
            <w:r>
              <w:rPr>
                <w:noProof/>
                <w:webHidden/>
              </w:rPr>
            </w:r>
            <w:r>
              <w:rPr>
                <w:noProof/>
                <w:webHidden/>
              </w:rPr>
              <w:fldChar w:fldCharType="separate"/>
            </w:r>
            <w:r>
              <w:rPr>
                <w:noProof/>
                <w:webHidden/>
              </w:rPr>
              <w:t>98</w:t>
            </w:r>
            <w:r>
              <w:rPr>
                <w:noProof/>
                <w:webHidden/>
              </w:rPr>
              <w:fldChar w:fldCharType="end"/>
            </w:r>
          </w:hyperlink>
        </w:p>
        <w:p w14:paraId="5CC7DD7C" w14:textId="25653435"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830" w:history="1">
            <w:r w:rsidRPr="00B80C39">
              <w:rPr>
                <w:rStyle w:val="Hyperlink"/>
              </w:rPr>
              <w:t>7.</w:t>
            </w:r>
            <w:r>
              <w:rPr>
                <w:rFonts w:asciiTheme="minorHAnsi" w:eastAsiaTheme="minorEastAsia" w:hAnsiTheme="minorHAnsi" w:cstheme="minorBidi"/>
                <w:b w:val="0"/>
                <w:bCs w:val="0"/>
                <w:kern w:val="2"/>
                <w:lang w:eastAsia="de-CH"/>
                <w14:ligatures w14:val="standardContextual"/>
              </w:rPr>
              <w:tab/>
            </w:r>
            <w:r w:rsidRPr="00B80C39">
              <w:rPr>
                <w:rStyle w:val="Hyperlink"/>
              </w:rPr>
              <w:t>Weitere Bemerkungen</w:t>
            </w:r>
            <w:r>
              <w:rPr>
                <w:webHidden/>
              </w:rPr>
              <w:tab/>
            </w:r>
            <w:r>
              <w:rPr>
                <w:webHidden/>
              </w:rPr>
              <w:fldChar w:fldCharType="begin"/>
            </w:r>
            <w:r>
              <w:rPr>
                <w:webHidden/>
              </w:rPr>
              <w:instrText xml:space="preserve"> PAGEREF _Toc216425830 \h </w:instrText>
            </w:r>
            <w:r>
              <w:rPr>
                <w:webHidden/>
              </w:rPr>
            </w:r>
            <w:r>
              <w:rPr>
                <w:webHidden/>
              </w:rPr>
              <w:fldChar w:fldCharType="separate"/>
            </w:r>
            <w:r>
              <w:rPr>
                <w:webHidden/>
              </w:rPr>
              <w:t>99</w:t>
            </w:r>
            <w:r>
              <w:rPr>
                <w:webHidden/>
              </w:rPr>
              <w:fldChar w:fldCharType="end"/>
            </w:r>
          </w:hyperlink>
        </w:p>
        <w:p w14:paraId="7A88D541" w14:textId="6518FA3A"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831" w:history="1">
            <w:r w:rsidRPr="00B80C39">
              <w:rPr>
                <w:rStyle w:val="Hyperlink"/>
              </w:rPr>
              <w:t>8.</w:t>
            </w:r>
            <w:r>
              <w:rPr>
                <w:rFonts w:asciiTheme="minorHAnsi" w:eastAsiaTheme="minorEastAsia" w:hAnsiTheme="minorHAnsi" w:cstheme="minorBidi"/>
                <w:b w:val="0"/>
                <w:bCs w:val="0"/>
                <w:kern w:val="2"/>
                <w:lang w:eastAsia="de-CH"/>
                <w14:ligatures w14:val="standardContextual"/>
              </w:rPr>
              <w:tab/>
            </w:r>
            <w:r w:rsidRPr="00B80C39">
              <w:rPr>
                <w:rStyle w:val="Hyperlink"/>
              </w:rPr>
              <w:t xml:space="preserve">Unterschrift / Bestätigung der </w:t>
            </w:r>
            <w:r w:rsidRPr="00B80C39">
              <w:rPr>
                <w:rStyle w:val="Hyperlink"/>
                <w:i/>
                <w:highlight w:val="lightGray"/>
              </w:rPr>
              <w:t>Revisionsstelle</w:t>
            </w:r>
            <w:r>
              <w:rPr>
                <w:webHidden/>
              </w:rPr>
              <w:tab/>
            </w:r>
            <w:r>
              <w:rPr>
                <w:webHidden/>
              </w:rPr>
              <w:fldChar w:fldCharType="begin"/>
            </w:r>
            <w:r>
              <w:rPr>
                <w:webHidden/>
              </w:rPr>
              <w:instrText xml:space="preserve"> PAGEREF _Toc216425831 \h </w:instrText>
            </w:r>
            <w:r>
              <w:rPr>
                <w:webHidden/>
              </w:rPr>
            </w:r>
            <w:r>
              <w:rPr>
                <w:webHidden/>
              </w:rPr>
              <w:fldChar w:fldCharType="separate"/>
            </w:r>
            <w:r>
              <w:rPr>
                <w:webHidden/>
              </w:rPr>
              <w:t>99</w:t>
            </w:r>
            <w:r>
              <w:rPr>
                <w:webHidden/>
              </w:rPr>
              <w:fldChar w:fldCharType="end"/>
            </w:r>
          </w:hyperlink>
        </w:p>
        <w:p w14:paraId="6E6A1E70" w14:textId="011989DB" w:rsidR="009E4FE7" w:rsidRDefault="009E4FE7">
          <w:pPr>
            <w:pStyle w:val="Verzeichnis1"/>
            <w:rPr>
              <w:rFonts w:asciiTheme="minorHAnsi" w:eastAsiaTheme="minorEastAsia" w:hAnsiTheme="minorHAnsi" w:cstheme="minorBidi"/>
              <w:b w:val="0"/>
              <w:bCs w:val="0"/>
              <w:kern w:val="2"/>
              <w:lang w:eastAsia="de-CH"/>
              <w14:ligatures w14:val="standardContextual"/>
            </w:rPr>
          </w:pPr>
          <w:hyperlink w:anchor="_Toc216425832" w:history="1">
            <w:r w:rsidRPr="00B80C39">
              <w:rPr>
                <w:rStyle w:val="Hyperlink"/>
              </w:rPr>
              <w:t>9.</w:t>
            </w:r>
            <w:r>
              <w:rPr>
                <w:rFonts w:asciiTheme="minorHAnsi" w:eastAsiaTheme="minorEastAsia" w:hAnsiTheme="minorHAnsi" w:cstheme="minorBidi"/>
                <w:b w:val="0"/>
                <w:bCs w:val="0"/>
                <w:kern w:val="2"/>
                <w:lang w:eastAsia="de-CH"/>
                <w14:ligatures w14:val="standardContextual"/>
              </w:rPr>
              <w:tab/>
            </w:r>
            <w:r w:rsidRPr="00B80C39">
              <w:rPr>
                <w:rStyle w:val="Hyperlink"/>
              </w:rPr>
              <w:t>Anhang</w:t>
            </w:r>
            <w:r>
              <w:rPr>
                <w:webHidden/>
              </w:rPr>
              <w:tab/>
            </w:r>
            <w:r>
              <w:rPr>
                <w:webHidden/>
              </w:rPr>
              <w:fldChar w:fldCharType="begin"/>
            </w:r>
            <w:r>
              <w:rPr>
                <w:webHidden/>
              </w:rPr>
              <w:instrText xml:space="preserve"> PAGEREF _Toc216425832 \h </w:instrText>
            </w:r>
            <w:r>
              <w:rPr>
                <w:webHidden/>
              </w:rPr>
            </w:r>
            <w:r>
              <w:rPr>
                <w:webHidden/>
              </w:rPr>
              <w:fldChar w:fldCharType="separate"/>
            </w:r>
            <w:r>
              <w:rPr>
                <w:webHidden/>
              </w:rPr>
              <w:t>99</w:t>
            </w:r>
            <w:r>
              <w:rPr>
                <w:webHidden/>
              </w:rPr>
              <w:fldChar w:fldCharType="end"/>
            </w:r>
          </w:hyperlink>
        </w:p>
        <w:p w14:paraId="40272320" w14:textId="781EAA64" w:rsidR="003A65D2" w:rsidRPr="00BB6029" w:rsidRDefault="00326E88" w:rsidP="00254B93">
          <w:pPr>
            <w:spacing w:before="120"/>
            <w:rPr>
              <w:sz w:val="20"/>
              <w:szCs w:val="20"/>
            </w:rPr>
          </w:pPr>
          <w:r w:rsidRPr="00DF10D9">
            <w:rPr>
              <w:rFonts w:ascii="Arial" w:hAnsi="Arial" w:cs="Arial"/>
              <w:sz w:val="20"/>
              <w:szCs w:val="20"/>
            </w:rPr>
            <w:fldChar w:fldCharType="end"/>
          </w:r>
        </w:p>
      </w:sdtContent>
    </w:sdt>
    <w:p w14:paraId="387B5738" w14:textId="77777777" w:rsidR="003A65D2" w:rsidRDefault="003A65D2">
      <w:pPr>
        <w:rPr>
          <w:b/>
        </w:rPr>
      </w:pPr>
      <w:r>
        <w:rPr>
          <w:b/>
        </w:rPr>
        <w:br w:type="page"/>
      </w:r>
    </w:p>
    <w:p w14:paraId="6ECDDBF4" w14:textId="246C22CF" w:rsidR="00DD5846" w:rsidRPr="00897AEF" w:rsidRDefault="0049142B" w:rsidP="003A65D2">
      <w:pPr>
        <w:jc w:val="both"/>
        <w:rPr>
          <w:rFonts w:ascii="Arial" w:hAnsi="Arial" w:cs="Arial"/>
          <w:b/>
          <w:i/>
        </w:rPr>
      </w:pPr>
      <w:r w:rsidRPr="00897AEF">
        <w:rPr>
          <w:rFonts w:ascii="Arial" w:hAnsi="Arial" w:cs="Arial"/>
          <w:b/>
          <w:i/>
          <w:highlight w:val="yellow"/>
        </w:rPr>
        <w:lastRenderedPageBreak/>
        <w:t xml:space="preserve">Beaufsichtigte </w:t>
      </w:r>
      <w:r w:rsidR="004F737B">
        <w:rPr>
          <w:rFonts w:ascii="Arial" w:hAnsi="Arial" w:cs="Arial"/>
          <w:b/>
          <w:i/>
          <w:highlight w:val="yellow"/>
        </w:rPr>
        <w:t xml:space="preserve">Bank </w:t>
      </w:r>
      <w:r w:rsidR="0087714B">
        <w:rPr>
          <w:rFonts w:ascii="Arial" w:hAnsi="Arial" w:cs="Arial"/>
          <w:b/>
          <w:i/>
          <w:highlight w:val="yellow"/>
        </w:rPr>
        <w:t xml:space="preserve">bzw. der </w:t>
      </w:r>
      <w:r w:rsidR="00404617">
        <w:rPr>
          <w:rFonts w:ascii="Arial" w:hAnsi="Arial" w:cs="Arial"/>
          <w:b/>
          <w:i/>
          <w:highlight w:val="yellow"/>
        </w:rPr>
        <w:t>Gruppe</w:t>
      </w:r>
    </w:p>
    <w:p w14:paraId="6A7C0CF5" w14:textId="77777777" w:rsidR="003A65D2" w:rsidRPr="00897AEF" w:rsidRDefault="003A65D2" w:rsidP="003A65D2">
      <w:pPr>
        <w:jc w:val="both"/>
        <w:rPr>
          <w:rFonts w:ascii="Arial" w:hAnsi="Arial" w:cs="Arial"/>
          <w:b/>
        </w:rPr>
      </w:pPr>
    </w:p>
    <w:p w14:paraId="340A13CF" w14:textId="45EE7647" w:rsidR="003A65D2" w:rsidRPr="00897AEF" w:rsidRDefault="003A65D2" w:rsidP="003A65D2">
      <w:pPr>
        <w:jc w:val="both"/>
        <w:rPr>
          <w:rFonts w:ascii="Arial" w:hAnsi="Arial" w:cs="Arial"/>
        </w:rPr>
      </w:pPr>
      <w:r w:rsidRPr="00897AEF">
        <w:rPr>
          <w:rFonts w:ascii="Arial" w:hAnsi="Arial" w:cs="Arial"/>
        </w:rPr>
        <w:t xml:space="preserve">Bericht der Revisionsstelle gemäss Gesetz über die Banken  über die Aufsichtsprüfung </w:t>
      </w:r>
      <w:r w:rsidRPr="00897AEF">
        <w:rPr>
          <w:rFonts w:ascii="Arial" w:hAnsi="Arial" w:cs="Arial"/>
          <w:i/>
          <w:highlight w:val="yellow"/>
        </w:rPr>
        <w:t>Berichtsjahr</w:t>
      </w:r>
    </w:p>
    <w:p w14:paraId="01A6A8E5" w14:textId="77777777" w:rsidR="00625CFC" w:rsidRPr="00897AEF" w:rsidRDefault="00625CFC" w:rsidP="003A65D2">
      <w:pPr>
        <w:jc w:val="both"/>
        <w:rPr>
          <w:rFonts w:ascii="Arial" w:hAnsi="Arial" w:cs="Arial"/>
        </w:rPr>
      </w:pPr>
    </w:p>
    <w:p w14:paraId="71AA119C" w14:textId="0B5BB9EA" w:rsidR="00625CFC" w:rsidRDefault="00625CFC" w:rsidP="003A65D2">
      <w:pPr>
        <w:jc w:val="both"/>
        <w:rPr>
          <w:rFonts w:ascii="Arial" w:hAnsi="Arial" w:cs="Arial"/>
          <w:i/>
          <w:sz w:val="20"/>
          <w:szCs w:val="20"/>
        </w:rPr>
      </w:pPr>
      <w:r w:rsidRPr="00897AEF">
        <w:rPr>
          <w:rFonts w:ascii="Arial" w:hAnsi="Arial" w:cs="Arial"/>
          <w:i/>
          <w:sz w:val="20"/>
          <w:szCs w:val="20"/>
          <w:highlight w:val="lightGray"/>
        </w:rPr>
        <w:t>[Die im Dokument kursiv und grau gehaltenen Text</w:t>
      </w:r>
      <w:r w:rsidR="008B259C">
        <w:rPr>
          <w:rFonts w:ascii="Arial" w:hAnsi="Arial" w:cs="Arial"/>
          <w:i/>
          <w:sz w:val="20"/>
          <w:szCs w:val="20"/>
          <w:highlight w:val="lightGray"/>
        </w:rPr>
        <w:t>t</w:t>
      </w:r>
      <w:r w:rsidRPr="00897AEF">
        <w:rPr>
          <w:rFonts w:ascii="Arial" w:hAnsi="Arial" w:cs="Arial"/>
          <w:i/>
          <w:sz w:val="20"/>
          <w:szCs w:val="20"/>
          <w:highlight w:val="lightGray"/>
        </w:rPr>
        <w:t>eile sind als Anleitung, jene in kursiv und gelb als beispielshafte Vorgabe zu verstehen. Nicht kursiv gehaltene Textvorgaben sind zwingend einzuhalten. Die Vorlage ist ab 20</w:t>
      </w:r>
      <w:r w:rsidR="00881418">
        <w:rPr>
          <w:rFonts w:ascii="Arial" w:hAnsi="Arial" w:cs="Arial"/>
          <w:i/>
          <w:sz w:val="20"/>
          <w:szCs w:val="20"/>
          <w:highlight w:val="lightGray"/>
        </w:rPr>
        <w:t>2</w:t>
      </w:r>
      <w:r w:rsidR="009C6F37">
        <w:rPr>
          <w:rFonts w:ascii="Arial" w:hAnsi="Arial" w:cs="Arial"/>
          <w:i/>
          <w:sz w:val="20"/>
          <w:szCs w:val="20"/>
          <w:highlight w:val="lightGray"/>
        </w:rPr>
        <w:t>6</w:t>
      </w:r>
      <w:r w:rsidRPr="00897AEF">
        <w:rPr>
          <w:rFonts w:ascii="Arial" w:hAnsi="Arial" w:cs="Arial"/>
          <w:i/>
          <w:sz w:val="20"/>
          <w:szCs w:val="20"/>
          <w:highlight w:val="lightGray"/>
        </w:rPr>
        <w:t xml:space="preserve"> anwendbar (aufsichtsrechtliche Berichterstattung für Prüfperioden beginnend am 01. Januar 20</w:t>
      </w:r>
      <w:r w:rsidR="00881418">
        <w:rPr>
          <w:rFonts w:ascii="Arial" w:hAnsi="Arial" w:cs="Arial"/>
          <w:i/>
          <w:sz w:val="20"/>
          <w:szCs w:val="20"/>
          <w:highlight w:val="lightGray"/>
        </w:rPr>
        <w:t>2</w:t>
      </w:r>
      <w:r w:rsidR="009C6F37">
        <w:rPr>
          <w:rFonts w:ascii="Arial" w:hAnsi="Arial" w:cs="Arial"/>
          <w:i/>
          <w:sz w:val="20"/>
          <w:szCs w:val="20"/>
          <w:highlight w:val="lightGray"/>
        </w:rPr>
        <w:t>6</w:t>
      </w:r>
      <w:r w:rsidRPr="00897AEF">
        <w:rPr>
          <w:rFonts w:ascii="Arial" w:hAnsi="Arial" w:cs="Arial"/>
          <w:i/>
          <w:sz w:val="20"/>
          <w:szCs w:val="20"/>
          <w:highlight w:val="lightGray"/>
        </w:rPr>
        <w:t>]</w:t>
      </w:r>
    </w:p>
    <w:p w14:paraId="24728543" w14:textId="77777777" w:rsidR="00C44852" w:rsidRDefault="00C44852">
      <w:pPr>
        <w:rPr>
          <w:rFonts w:ascii="Arial" w:hAnsi="Arial" w:cs="Arial"/>
          <w:i/>
          <w:sz w:val="20"/>
          <w:szCs w:val="20"/>
          <w:highlight w:val="lightGray"/>
        </w:rPr>
      </w:pPr>
      <w:r>
        <w:rPr>
          <w:rFonts w:ascii="Arial" w:hAnsi="Arial" w:cs="Arial"/>
          <w:i/>
          <w:sz w:val="20"/>
          <w:szCs w:val="20"/>
          <w:highlight w:val="lightGray"/>
        </w:rPr>
        <w:br w:type="page"/>
      </w:r>
    </w:p>
    <w:p w14:paraId="586F1675" w14:textId="77777777" w:rsidR="0049142B" w:rsidRDefault="0049142B" w:rsidP="006F7AB5">
      <w:pPr>
        <w:pStyle w:val="FINMAGliederungEbene1"/>
      </w:pPr>
      <w:bookmarkStart w:id="0" w:name="_Toc216425749"/>
      <w:r>
        <w:lastRenderedPageBreak/>
        <w:t>Rahmenbedingungen der Aufsichtsprüfung</w:t>
      </w:r>
      <w:bookmarkEnd w:id="0"/>
    </w:p>
    <w:p w14:paraId="38BD6C68" w14:textId="77777777" w:rsidR="00542456" w:rsidRPr="00624857" w:rsidRDefault="00542456" w:rsidP="0049142B">
      <w:pPr>
        <w:jc w:val="both"/>
        <w:rPr>
          <w:sz w:val="20"/>
          <w:szCs w:val="20"/>
        </w:rPr>
      </w:pPr>
    </w:p>
    <w:p w14:paraId="55F4ACD1" w14:textId="77777777" w:rsidR="00624857" w:rsidRDefault="00624857" w:rsidP="0049142B">
      <w:pPr>
        <w:jc w:val="both"/>
        <w:rPr>
          <w:rFonts w:ascii="Arial" w:hAnsi="Arial" w:cs="Arial"/>
          <w:i/>
          <w:sz w:val="20"/>
          <w:szCs w:val="20"/>
        </w:rPr>
      </w:pPr>
      <w:r w:rsidRPr="00624857">
        <w:rPr>
          <w:rFonts w:ascii="Arial" w:hAnsi="Arial" w:cs="Arial"/>
          <w:i/>
          <w:sz w:val="20"/>
          <w:szCs w:val="20"/>
          <w:highlight w:val="lightGray"/>
        </w:rPr>
        <w:t>Unter diesem Abschnitt sind die Rahmenbedingungen der Prüfung aufzuführen, d.h. insbesondere</w:t>
      </w:r>
      <w:r w:rsidRPr="00624857">
        <w:rPr>
          <w:rFonts w:ascii="Arial" w:hAnsi="Arial" w:cs="Arial"/>
          <w:i/>
          <w:sz w:val="20"/>
          <w:szCs w:val="20"/>
        </w:rPr>
        <w:t xml:space="preserve"> </w:t>
      </w:r>
    </w:p>
    <w:p w14:paraId="2696C25E" w14:textId="77777777" w:rsidR="00193A84" w:rsidRPr="00624857" w:rsidRDefault="00193A84" w:rsidP="0049142B">
      <w:pPr>
        <w:jc w:val="both"/>
        <w:rPr>
          <w:rFonts w:ascii="Arial" w:hAnsi="Arial" w:cs="Arial"/>
          <w:i/>
          <w:sz w:val="20"/>
          <w:szCs w:val="20"/>
        </w:rPr>
      </w:pPr>
    </w:p>
    <w:p w14:paraId="00AB4DF8" w14:textId="77777777"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Bestätigung, dass die Prüfung gemäss der an die FMA vorab eingereichten Prüfstrategie durchge</w:t>
      </w:r>
      <w:r w:rsidR="00BC19D0">
        <w:rPr>
          <w:rFonts w:cs="Arial"/>
          <w:szCs w:val="20"/>
          <w:highlight w:val="lightGray"/>
        </w:rPr>
        <w:t>führt wurden;</w:t>
      </w:r>
      <w:r w:rsidRPr="00193A84">
        <w:rPr>
          <w:rFonts w:cs="Arial"/>
          <w:szCs w:val="20"/>
          <w:highlight w:val="lightGray"/>
        </w:rPr>
        <w:t xml:space="preserve"> Abweichungen sind zu begründen</w:t>
      </w:r>
    </w:p>
    <w:p w14:paraId="46DAD0F3" w14:textId="77777777" w:rsidR="004F737B" w:rsidRPr="00193A84" w:rsidRDefault="004F737B" w:rsidP="00624857">
      <w:pPr>
        <w:pStyle w:val="Listenabsatz"/>
        <w:numPr>
          <w:ilvl w:val="0"/>
          <w:numId w:val="5"/>
        </w:numPr>
        <w:jc w:val="both"/>
        <w:rPr>
          <w:rFonts w:cs="Arial"/>
          <w:szCs w:val="20"/>
          <w:highlight w:val="lightGray"/>
        </w:rPr>
      </w:pPr>
      <w:r>
        <w:rPr>
          <w:rFonts w:cs="Arial"/>
          <w:szCs w:val="20"/>
          <w:highlight w:val="lightGray"/>
        </w:rPr>
        <w:t>Angabe der Zeitspanne(-n), in der die Prüfungshandlungen und die Berichterstattung durchgeführt bzw. erstellt wurden</w:t>
      </w:r>
    </w:p>
    <w:p w14:paraId="538EDA69" w14:textId="77777777" w:rsidR="00394320" w:rsidRPr="00CB3EE6" w:rsidRDefault="00394320" w:rsidP="00624857">
      <w:pPr>
        <w:pStyle w:val="Listenabsatz"/>
        <w:numPr>
          <w:ilvl w:val="0"/>
          <w:numId w:val="5"/>
        </w:numPr>
        <w:jc w:val="both"/>
        <w:rPr>
          <w:rFonts w:cs="Arial"/>
          <w:szCs w:val="20"/>
          <w:highlight w:val="lightGray"/>
        </w:rPr>
      </w:pPr>
      <w:r w:rsidRPr="00CB3EE6">
        <w:rPr>
          <w:rFonts w:cs="Arial"/>
          <w:szCs w:val="20"/>
          <w:highlight w:val="lightGray"/>
        </w:rPr>
        <w:t>Auflistung der bei der Prüfung wesentlich eingesetzten Personen inklusive Angabe der Hierarchie- bzw. Funktionsstufe (z.B. Partner, Manager, eingesetzte Spezialisten in den Bereichen Recht, Steuern, IT usw.)</w:t>
      </w:r>
    </w:p>
    <w:p w14:paraId="2A5DD52C" w14:textId="77777777" w:rsidR="00624857" w:rsidRPr="00954411" w:rsidRDefault="00624857" w:rsidP="00624857">
      <w:pPr>
        <w:pStyle w:val="Listenabsatz"/>
        <w:numPr>
          <w:ilvl w:val="0"/>
          <w:numId w:val="5"/>
        </w:numPr>
        <w:jc w:val="both"/>
        <w:rPr>
          <w:rFonts w:cs="Arial"/>
          <w:szCs w:val="20"/>
          <w:highlight w:val="lightGray"/>
        </w:rPr>
      </w:pPr>
      <w:r w:rsidRPr="00954411">
        <w:rPr>
          <w:rFonts w:cs="Arial"/>
          <w:szCs w:val="20"/>
          <w:highlight w:val="lightGray"/>
        </w:rPr>
        <w:t>Ausmass der Abstützung auf bzw. Verwendung von Arbeiten Dritter, eines Experten oder eines anderen Wirtschaftsprüfers (z.B. bei Gruppengesellschaften)</w:t>
      </w:r>
    </w:p>
    <w:p w14:paraId="6CC7C974" w14:textId="2D888B51" w:rsidR="00624857" w:rsidRPr="00193A84"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Hinweise auf </w:t>
      </w:r>
      <w:r w:rsidR="00885CE4">
        <w:rPr>
          <w:rFonts w:cs="Arial"/>
          <w:szCs w:val="20"/>
          <w:highlight w:val="lightGray"/>
        </w:rPr>
        <w:t xml:space="preserve">Einschränkungen und </w:t>
      </w:r>
      <w:r w:rsidRPr="00193A84">
        <w:rPr>
          <w:rFonts w:cs="Arial"/>
          <w:szCs w:val="20"/>
          <w:highlight w:val="lightGray"/>
        </w:rPr>
        <w:t>Schwierigkeiten bei der Prüfung</w:t>
      </w:r>
      <w:r w:rsidR="007E12DD">
        <w:rPr>
          <w:rFonts w:cs="Arial"/>
          <w:szCs w:val="20"/>
          <w:highlight w:val="lightGray"/>
        </w:rPr>
        <w:t xml:space="preserve"> </w:t>
      </w:r>
      <w:r w:rsidR="009464E8">
        <w:rPr>
          <w:rFonts w:cs="Arial"/>
          <w:szCs w:val="20"/>
          <w:highlight w:val="lightGray"/>
        </w:rPr>
        <w:t>(z.B. Abwesenheit von Entscheidungsträgern; unvollständige/qualitativ mangelhafte Dokumentation durch d</w:t>
      </w:r>
      <w:r w:rsidR="00885CE4">
        <w:rPr>
          <w:rFonts w:cs="Arial"/>
          <w:szCs w:val="20"/>
          <w:highlight w:val="lightGray"/>
        </w:rPr>
        <w:t>ie</w:t>
      </w:r>
      <w:r w:rsidR="009464E8">
        <w:rPr>
          <w:rFonts w:cs="Arial"/>
          <w:szCs w:val="20"/>
          <w:highlight w:val="lightGray"/>
        </w:rPr>
        <w:t xml:space="preserve"> </w:t>
      </w:r>
      <w:r w:rsidR="00885CE4">
        <w:rPr>
          <w:rFonts w:cs="Arial"/>
          <w:szCs w:val="20"/>
          <w:highlight w:val="lightGray"/>
        </w:rPr>
        <w:t>b</w:t>
      </w:r>
      <w:r w:rsidR="004F737B">
        <w:rPr>
          <w:rFonts w:cs="Arial"/>
          <w:szCs w:val="20"/>
          <w:highlight w:val="lightGray"/>
        </w:rPr>
        <w:t>eaufsich</w:t>
      </w:r>
      <w:r w:rsidR="00885CE4">
        <w:rPr>
          <w:rFonts w:cs="Arial"/>
          <w:szCs w:val="20"/>
          <w:highlight w:val="lightGray"/>
        </w:rPr>
        <w:t>tigte</w:t>
      </w:r>
      <w:r w:rsidR="004F737B">
        <w:rPr>
          <w:rFonts w:cs="Arial"/>
          <w:szCs w:val="20"/>
          <w:highlight w:val="lightGray"/>
        </w:rPr>
        <w:t xml:space="preserve"> Bank</w:t>
      </w:r>
      <w:r w:rsidR="00F83287">
        <w:rPr>
          <w:rFonts w:cs="Arial"/>
          <w:szCs w:val="20"/>
          <w:highlight w:val="lightGray"/>
        </w:rPr>
        <w:t xml:space="preserve">, </w:t>
      </w:r>
      <w:r w:rsidR="00365BF1">
        <w:rPr>
          <w:rFonts w:cs="Arial"/>
          <w:szCs w:val="20"/>
          <w:highlight w:val="lightGray"/>
        </w:rPr>
        <w:t xml:space="preserve"> bewilligte (gemischte) Finanzholdinggesellschaft</w:t>
      </w:r>
      <w:r w:rsidR="009464E8">
        <w:rPr>
          <w:rFonts w:cs="Arial"/>
          <w:szCs w:val="20"/>
          <w:highlight w:val="lightGray"/>
        </w:rPr>
        <w:t xml:space="preserve"> </w:t>
      </w:r>
      <w:r w:rsidR="00377A0B">
        <w:rPr>
          <w:rFonts w:cs="Arial"/>
          <w:szCs w:val="20"/>
          <w:highlight w:val="lightGray"/>
        </w:rPr>
        <w:t xml:space="preserve">bzw. Gruppe </w:t>
      </w:r>
      <w:r w:rsidR="009464E8">
        <w:rPr>
          <w:rFonts w:cs="Arial"/>
          <w:szCs w:val="20"/>
          <w:highlight w:val="lightGray"/>
        </w:rPr>
        <w:t xml:space="preserve">inkl. dessen </w:t>
      </w:r>
      <w:r w:rsidR="00DC5168">
        <w:rPr>
          <w:rFonts w:cs="Arial"/>
          <w:szCs w:val="20"/>
          <w:highlight w:val="lightGray"/>
        </w:rPr>
        <w:t>I</w:t>
      </w:r>
      <w:r w:rsidR="009464E8">
        <w:rPr>
          <w:rFonts w:cs="Arial"/>
          <w:szCs w:val="20"/>
          <w:highlight w:val="lightGray"/>
        </w:rPr>
        <w:t>nterne Revision; Restriktionen bei den Prüfungen z.B. reduzierter Prüfungsumfang infolge von durch d</w:t>
      </w:r>
      <w:r w:rsidR="00AA63DD">
        <w:rPr>
          <w:rFonts w:cs="Arial"/>
          <w:szCs w:val="20"/>
          <w:highlight w:val="lightGray"/>
        </w:rPr>
        <w:t>ie</w:t>
      </w:r>
      <w:r w:rsidR="009464E8">
        <w:rPr>
          <w:rFonts w:cs="Arial"/>
          <w:szCs w:val="20"/>
          <w:highlight w:val="lightGray"/>
        </w:rPr>
        <w:t xml:space="preserve"> </w:t>
      </w:r>
      <w:r w:rsidR="00AA63DD">
        <w:rPr>
          <w:rFonts w:cs="Arial"/>
          <w:szCs w:val="20"/>
          <w:highlight w:val="lightGray"/>
        </w:rPr>
        <w:t>b</w:t>
      </w:r>
      <w:r w:rsidR="004F737B">
        <w:rPr>
          <w:rFonts w:cs="Arial"/>
          <w:szCs w:val="20"/>
          <w:highlight w:val="lightGray"/>
        </w:rPr>
        <w:t>eauf</w:t>
      </w:r>
      <w:r w:rsidR="00AA63DD">
        <w:rPr>
          <w:rFonts w:cs="Arial"/>
          <w:szCs w:val="20"/>
          <w:highlight w:val="lightGray"/>
        </w:rPr>
        <w:t>sichtigte</w:t>
      </w:r>
      <w:r w:rsidR="004F737B">
        <w:rPr>
          <w:rFonts w:cs="Arial"/>
          <w:szCs w:val="20"/>
          <w:highlight w:val="lightGray"/>
        </w:rPr>
        <w:t xml:space="preserve"> Bank</w:t>
      </w:r>
      <w:r w:rsidR="00365BF1">
        <w:rPr>
          <w:rFonts w:cs="Arial"/>
          <w:szCs w:val="20"/>
          <w:highlight w:val="lightGray"/>
        </w:rPr>
        <w:t xml:space="preserve">, </w:t>
      </w:r>
      <w:r w:rsidR="00D3000D">
        <w:rPr>
          <w:rFonts w:cs="Arial"/>
          <w:szCs w:val="20"/>
          <w:highlight w:val="lightGray"/>
        </w:rPr>
        <w:t xml:space="preserve"> bewilligte (gemischte) Finanzholdinggesellschaft</w:t>
      </w:r>
      <w:r w:rsidR="009464E8">
        <w:rPr>
          <w:rFonts w:cs="Arial"/>
          <w:szCs w:val="20"/>
          <w:highlight w:val="lightGray"/>
        </w:rPr>
        <w:t xml:space="preserve"> </w:t>
      </w:r>
      <w:r w:rsidR="00377A0B">
        <w:rPr>
          <w:rFonts w:cs="Arial"/>
          <w:szCs w:val="20"/>
          <w:highlight w:val="lightGray"/>
        </w:rPr>
        <w:t xml:space="preserve">bzw. Gruppe </w:t>
      </w:r>
      <w:r w:rsidR="009464E8">
        <w:rPr>
          <w:rFonts w:cs="Arial"/>
          <w:szCs w:val="20"/>
          <w:highlight w:val="lightGray"/>
        </w:rPr>
        <w:t>reduziertem Budget</w:t>
      </w:r>
      <w:r w:rsidR="00885CE4">
        <w:rPr>
          <w:rFonts w:cs="Arial"/>
          <w:szCs w:val="20"/>
          <w:highlight w:val="lightGray"/>
        </w:rPr>
        <w:t>; Sachverhalte, die dazu führen, dass die Würdigung des Tatbestands verunmöglicht wird</w:t>
      </w:r>
      <w:r w:rsidR="009464E8">
        <w:rPr>
          <w:rFonts w:cs="Arial"/>
          <w:szCs w:val="20"/>
          <w:highlight w:val="lightGray"/>
        </w:rPr>
        <w:t xml:space="preserve"> etc.)</w:t>
      </w:r>
    </w:p>
    <w:p w14:paraId="47886A7D" w14:textId="6A558029" w:rsidR="00624857" w:rsidRDefault="00624857" w:rsidP="00624857">
      <w:pPr>
        <w:pStyle w:val="Listenabsatz"/>
        <w:numPr>
          <w:ilvl w:val="0"/>
          <w:numId w:val="5"/>
        </w:numPr>
        <w:jc w:val="both"/>
        <w:rPr>
          <w:rFonts w:cs="Arial"/>
          <w:szCs w:val="20"/>
          <w:highlight w:val="lightGray"/>
        </w:rPr>
      </w:pPr>
      <w:r w:rsidRPr="00193A84">
        <w:rPr>
          <w:rFonts w:cs="Arial"/>
          <w:szCs w:val="20"/>
          <w:highlight w:val="lightGray"/>
        </w:rPr>
        <w:t xml:space="preserve">Bestätigung, dass alle Informationen zeitgerecht und in der erforderlichen Qualität zur Verfügung gestellt wurden </w:t>
      </w:r>
      <w:r w:rsidRPr="00A938AE">
        <w:rPr>
          <w:rFonts w:cs="Arial"/>
          <w:szCs w:val="20"/>
          <w:highlight w:val="lightGray"/>
        </w:rPr>
        <w:t>(gemäss Art. 1</w:t>
      </w:r>
      <w:r w:rsidR="00E148FF" w:rsidRPr="00A938AE">
        <w:rPr>
          <w:rFonts w:cs="Arial"/>
          <w:szCs w:val="20"/>
          <w:highlight w:val="lightGray"/>
        </w:rPr>
        <w:t>23</w:t>
      </w:r>
      <w:r w:rsidRPr="00A938AE">
        <w:rPr>
          <w:rFonts w:cs="Arial"/>
          <w:szCs w:val="20"/>
          <w:highlight w:val="lightGray"/>
        </w:rPr>
        <w:t xml:space="preserve"> Abs. 2 BankG)</w:t>
      </w:r>
    </w:p>
    <w:p w14:paraId="576A2748" w14:textId="6D2287A6" w:rsidR="00433F12" w:rsidRPr="00193A84" w:rsidRDefault="00433F12" w:rsidP="00624857">
      <w:pPr>
        <w:pStyle w:val="Listenabsatz"/>
        <w:numPr>
          <w:ilvl w:val="0"/>
          <w:numId w:val="5"/>
        </w:numPr>
        <w:jc w:val="both"/>
        <w:rPr>
          <w:rFonts w:cs="Arial"/>
          <w:szCs w:val="20"/>
          <w:highlight w:val="lightGray"/>
        </w:rPr>
      </w:pPr>
      <w:r>
        <w:rPr>
          <w:rFonts w:cs="Arial"/>
          <w:szCs w:val="20"/>
          <w:highlight w:val="lightGray"/>
        </w:rPr>
        <w:t xml:space="preserve">Bestätigung der Unabhängigkeit der Revisionsstelle gemäss </w:t>
      </w:r>
      <w:r w:rsidRPr="00A938AE">
        <w:rPr>
          <w:rFonts w:cs="Arial"/>
          <w:szCs w:val="20"/>
          <w:highlight w:val="lightGray"/>
        </w:rPr>
        <w:t xml:space="preserve">Art. </w:t>
      </w:r>
      <w:r w:rsidR="00953E7E" w:rsidRPr="00A938AE">
        <w:rPr>
          <w:rFonts w:cs="Arial"/>
          <w:szCs w:val="20"/>
          <w:highlight w:val="lightGray"/>
        </w:rPr>
        <w:t>127 BankG</w:t>
      </w:r>
      <w:r w:rsidRPr="00A938AE">
        <w:rPr>
          <w:rFonts w:cs="Arial"/>
          <w:szCs w:val="20"/>
          <w:highlight w:val="lightGray"/>
        </w:rPr>
        <w:t>.</w:t>
      </w:r>
      <w:r w:rsidRPr="00A938AE">
        <w:rPr>
          <w:rFonts w:cs="Arial"/>
          <w:szCs w:val="20"/>
          <w:highlight w:val="yellow"/>
        </w:rPr>
        <w:t xml:space="preserve"> </w:t>
      </w:r>
    </w:p>
    <w:p w14:paraId="1E71E840" w14:textId="77777777" w:rsidR="00193A84" w:rsidRDefault="00193A84" w:rsidP="00193A84">
      <w:pPr>
        <w:jc w:val="both"/>
      </w:pPr>
    </w:p>
    <w:p w14:paraId="12E792BB" w14:textId="60BAD494" w:rsidR="00193A84" w:rsidRDefault="00193A84" w:rsidP="006F7AB5">
      <w:pPr>
        <w:pStyle w:val="FINMAGliederungEbene1"/>
      </w:pPr>
      <w:bookmarkStart w:id="1" w:name="_Toc216425750"/>
      <w:r>
        <w:t>Weitere Mandate der Revisionsstelle bei</w:t>
      </w:r>
      <w:r w:rsidR="004F737B">
        <w:t xml:space="preserve"> der beaufsichtigten Bank </w:t>
      </w:r>
      <w:r w:rsidR="00EA5362">
        <w:t xml:space="preserve">bzw. </w:t>
      </w:r>
      <w:r w:rsidR="00E55E3C">
        <w:t xml:space="preserve">innerhalb </w:t>
      </w:r>
      <w:r w:rsidR="00EA5362">
        <w:t>der</w:t>
      </w:r>
      <w:r w:rsidR="00E55E3C">
        <w:t>selben</w:t>
      </w:r>
      <w:r w:rsidR="00EA5362">
        <w:t xml:space="preserve"> Gruppe</w:t>
      </w:r>
      <w:bookmarkEnd w:id="1"/>
    </w:p>
    <w:p w14:paraId="58F4BB3E" w14:textId="77777777" w:rsidR="004F737B" w:rsidRDefault="004F737B" w:rsidP="004F737B">
      <w:pPr>
        <w:pStyle w:val="Listenabsatz"/>
        <w:ind w:left="360"/>
        <w:jc w:val="both"/>
      </w:pPr>
    </w:p>
    <w:p w14:paraId="3FC012EA" w14:textId="29D77E8A" w:rsidR="00193A84" w:rsidRPr="006819F9" w:rsidRDefault="00193A84" w:rsidP="00193A84">
      <w:pPr>
        <w:jc w:val="both"/>
        <w:rPr>
          <w:rFonts w:ascii="Arial" w:hAnsi="Arial" w:cs="Arial"/>
          <w:i/>
          <w:sz w:val="20"/>
          <w:szCs w:val="20"/>
          <w:highlight w:val="lightGray"/>
        </w:rPr>
      </w:pPr>
      <w:r w:rsidRPr="00193A84">
        <w:rPr>
          <w:rFonts w:ascii="Arial" w:hAnsi="Arial" w:cs="Arial"/>
          <w:i/>
          <w:sz w:val="20"/>
          <w:szCs w:val="20"/>
          <w:highlight w:val="lightGray"/>
        </w:rPr>
        <w:t>Die Revisionsstelle führt allfällige weitere Mandat</w:t>
      </w:r>
      <w:r w:rsidR="000C756C">
        <w:rPr>
          <w:rFonts w:ascii="Arial" w:hAnsi="Arial" w:cs="Arial"/>
          <w:i/>
          <w:sz w:val="20"/>
          <w:szCs w:val="20"/>
          <w:highlight w:val="lightGray"/>
        </w:rPr>
        <w:t>e (z.B. Abschlussprüfung, vereinbarte Prüfungshandlungen, Beratungsmandate, andere Prüfmandate und Dienstleistungen)</w:t>
      </w:r>
      <w:r w:rsidRPr="00193A84">
        <w:rPr>
          <w:rFonts w:ascii="Arial" w:hAnsi="Arial" w:cs="Arial"/>
          <w:i/>
          <w:sz w:val="20"/>
          <w:szCs w:val="20"/>
          <w:highlight w:val="lightGray"/>
        </w:rPr>
        <w:t xml:space="preserve"> </w:t>
      </w:r>
      <w:r w:rsidR="000C756C">
        <w:rPr>
          <w:rFonts w:ascii="Arial" w:hAnsi="Arial" w:cs="Arial"/>
          <w:i/>
          <w:sz w:val="20"/>
          <w:szCs w:val="20"/>
          <w:highlight w:val="lightGray"/>
        </w:rPr>
        <w:t xml:space="preserve">im berichtsrelevanten Zeitraum </w:t>
      </w:r>
      <w:r w:rsidRPr="00193A84">
        <w:rPr>
          <w:rFonts w:ascii="Arial" w:hAnsi="Arial" w:cs="Arial"/>
          <w:i/>
          <w:sz w:val="20"/>
          <w:szCs w:val="20"/>
          <w:highlight w:val="lightGray"/>
        </w:rPr>
        <w:t xml:space="preserve">bei </w:t>
      </w:r>
      <w:r w:rsidR="00885CE4">
        <w:rPr>
          <w:rFonts w:ascii="Arial" w:hAnsi="Arial" w:cs="Arial"/>
          <w:i/>
          <w:sz w:val="20"/>
          <w:szCs w:val="20"/>
          <w:highlight w:val="lightGray"/>
        </w:rPr>
        <w:t xml:space="preserve">der </w:t>
      </w:r>
      <w:r w:rsidRPr="00193A84">
        <w:rPr>
          <w:rFonts w:ascii="Arial" w:hAnsi="Arial" w:cs="Arial"/>
          <w:i/>
          <w:sz w:val="20"/>
          <w:szCs w:val="20"/>
          <w:highlight w:val="lightGray"/>
        </w:rPr>
        <w:t xml:space="preserve">beaufsichtigten </w:t>
      </w:r>
      <w:r w:rsidR="004F737B">
        <w:rPr>
          <w:rFonts w:ascii="Arial" w:hAnsi="Arial" w:cs="Arial"/>
          <w:i/>
          <w:sz w:val="20"/>
          <w:szCs w:val="20"/>
          <w:highlight w:val="lightGray"/>
        </w:rPr>
        <w:t xml:space="preserve">Bank </w:t>
      </w:r>
      <w:r w:rsidR="000C756C">
        <w:rPr>
          <w:rFonts w:ascii="Arial" w:hAnsi="Arial" w:cs="Arial"/>
          <w:i/>
          <w:sz w:val="20"/>
          <w:szCs w:val="20"/>
          <w:highlight w:val="lightGray"/>
        </w:rPr>
        <w:t xml:space="preserve">sowie bei Gruppengesellschaften, welche Teil des Konsolidierungskreises sind, auf. Diesbezüglich sind die Art und der Umfang der Mandate zu beschreiben. </w:t>
      </w:r>
    </w:p>
    <w:p w14:paraId="46A2693C" w14:textId="77777777" w:rsidR="00885CE4" w:rsidRDefault="00885CE4" w:rsidP="00CB3EE6">
      <w:pPr>
        <w:pStyle w:val="Listenabsatz"/>
        <w:ind w:left="360"/>
        <w:jc w:val="both"/>
      </w:pPr>
    </w:p>
    <w:p w14:paraId="5FABEE8C" w14:textId="77777777" w:rsidR="00193A84" w:rsidRDefault="00193A84" w:rsidP="006F7AB5">
      <w:pPr>
        <w:pStyle w:val="FINMAGliederungEbene1"/>
      </w:pPr>
      <w:bookmarkStart w:id="2" w:name="_Toc216425751"/>
      <w:r>
        <w:t>Zusammenfassung der Prüfresultate</w:t>
      </w:r>
      <w:r w:rsidR="00433F12">
        <w:t xml:space="preserve"> aus der Aufsichtsprüfung</w:t>
      </w:r>
      <w:bookmarkEnd w:id="2"/>
    </w:p>
    <w:p w14:paraId="61EB6333" w14:textId="77777777" w:rsidR="00193A84" w:rsidRPr="00193A84" w:rsidRDefault="00193A84" w:rsidP="00193A84">
      <w:pPr>
        <w:jc w:val="both"/>
        <w:rPr>
          <w:rFonts w:cs="Arial"/>
          <w:szCs w:val="20"/>
        </w:rPr>
      </w:pPr>
    </w:p>
    <w:p w14:paraId="1E497C69" w14:textId="72D08197" w:rsidR="00885CE4" w:rsidRDefault="00193A84" w:rsidP="004B7B6C">
      <w:pPr>
        <w:jc w:val="both"/>
        <w:rPr>
          <w:rFonts w:ascii="Arial" w:hAnsi="Arial" w:cs="Arial"/>
          <w:i/>
          <w:sz w:val="20"/>
          <w:szCs w:val="20"/>
          <w:highlight w:val="lightGray"/>
        </w:rPr>
      </w:pPr>
      <w:r w:rsidRPr="001469E9">
        <w:rPr>
          <w:rFonts w:ascii="Arial" w:hAnsi="Arial" w:cs="Arial"/>
          <w:i/>
          <w:sz w:val="20"/>
          <w:szCs w:val="20"/>
          <w:highlight w:val="lightGray"/>
        </w:rPr>
        <w:t>Die Revisionsstelle vermerkt alle Beanstandungen und Empfehlungen des Berichtsjahres sowie der vorangegangenen Prüfperiode (jeweils mit Fristansetzung und zu treffenden bzw. getroffenen Massnahmen sowie der Stand der Umsetzung). Der Zusammenzug aller Beanstandungen und Empfehlungen ist in tabellarischer Form vorzunehmen</w:t>
      </w:r>
      <w:r w:rsidR="00D36D11" w:rsidRPr="001469E9">
        <w:rPr>
          <w:rFonts w:ascii="Arial" w:hAnsi="Arial" w:cs="Arial"/>
          <w:i/>
          <w:sz w:val="20"/>
          <w:szCs w:val="20"/>
          <w:highlight w:val="lightGray"/>
        </w:rPr>
        <w:t xml:space="preserve"> (für Beanstandungen oder Empfehlungen des Berichtsjahres mit Verweis auf die Seitenzahlen des Berichts für die entsprechende Detailausführung</w:t>
      </w:r>
      <w:r w:rsidR="001469E9">
        <w:rPr>
          <w:rFonts w:ascii="Arial" w:hAnsi="Arial" w:cs="Arial"/>
          <w:i/>
          <w:sz w:val="20"/>
          <w:szCs w:val="20"/>
          <w:highlight w:val="lightGray"/>
        </w:rPr>
        <w:t>)</w:t>
      </w:r>
      <w:r w:rsidR="00D36D11" w:rsidRPr="001469E9">
        <w:rPr>
          <w:rFonts w:ascii="Arial" w:hAnsi="Arial" w:cs="Arial"/>
          <w:i/>
          <w:sz w:val="20"/>
          <w:szCs w:val="20"/>
          <w:highlight w:val="lightGray"/>
        </w:rPr>
        <w:t xml:space="preserve">. Hat die </w:t>
      </w:r>
      <w:r w:rsidR="00072BE1">
        <w:rPr>
          <w:rFonts w:ascii="Arial" w:hAnsi="Arial" w:cs="Arial"/>
          <w:i/>
          <w:sz w:val="20"/>
          <w:szCs w:val="20"/>
          <w:highlight w:val="lightGray"/>
        </w:rPr>
        <w:t>Revisionsstelle</w:t>
      </w:r>
      <w:r w:rsidR="00072BE1" w:rsidRPr="001469E9">
        <w:rPr>
          <w:rFonts w:ascii="Arial" w:hAnsi="Arial" w:cs="Arial"/>
          <w:i/>
          <w:sz w:val="20"/>
          <w:szCs w:val="20"/>
          <w:highlight w:val="lightGray"/>
        </w:rPr>
        <w:t xml:space="preserve"> </w:t>
      </w:r>
      <w:r w:rsidR="00D36D11" w:rsidRPr="001469E9">
        <w:rPr>
          <w:rFonts w:ascii="Arial" w:hAnsi="Arial" w:cs="Arial"/>
          <w:i/>
          <w:sz w:val="20"/>
          <w:szCs w:val="20"/>
          <w:highlight w:val="lightGray"/>
        </w:rPr>
        <w:t>keine Beanstandungen oder Empfehlungen zum Berichts- oder Vorjahr anzubringen bzw. angebrac</w:t>
      </w:r>
      <w:r w:rsidR="001469E9" w:rsidRPr="001469E9">
        <w:rPr>
          <w:rFonts w:ascii="Arial" w:hAnsi="Arial" w:cs="Arial"/>
          <w:i/>
          <w:sz w:val="20"/>
          <w:szCs w:val="20"/>
          <w:highlight w:val="lightGray"/>
        </w:rPr>
        <w:t>h</w:t>
      </w:r>
      <w:r w:rsidR="00D36D11" w:rsidRPr="001469E9">
        <w:rPr>
          <w:rFonts w:ascii="Arial" w:hAnsi="Arial" w:cs="Arial"/>
          <w:i/>
          <w:sz w:val="20"/>
          <w:szCs w:val="20"/>
          <w:highlight w:val="lightGray"/>
        </w:rPr>
        <w:t>t, so hält sie dies fest.</w:t>
      </w:r>
      <w:r w:rsidR="001469E9" w:rsidRPr="001469E9">
        <w:rPr>
          <w:rFonts w:ascii="Arial" w:hAnsi="Arial" w:cs="Arial"/>
          <w:i/>
          <w:sz w:val="20"/>
          <w:szCs w:val="20"/>
          <w:highlight w:val="lightGray"/>
        </w:rPr>
        <w:t xml:space="preserve"> Beanstandungen, die wiederholt auftreten, sind speziell zu kennzeichnen. Werden Beanstandungen oder Empfehlungen identifiziert, deren Bereinigung bereits erledigt ist, sind diese dennoch im Bericht aufzuführen. Dabei soll ersichtlich dargestellt werden, weshalb sich ein Handlungsbedarf erübrigt.</w:t>
      </w:r>
      <w:r w:rsidR="001469E9" w:rsidRPr="00CB3EE6">
        <w:rPr>
          <w:rFonts w:ascii="Arial" w:hAnsi="Arial" w:cs="Arial"/>
          <w:i/>
          <w:sz w:val="20"/>
          <w:szCs w:val="20"/>
          <w:highlight w:val="lightGray"/>
        </w:rPr>
        <w:t xml:space="preserve"> </w:t>
      </w:r>
      <w:r w:rsidR="005F3784">
        <w:rPr>
          <w:rFonts w:ascii="Arial" w:hAnsi="Arial" w:cs="Arial"/>
          <w:i/>
          <w:sz w:val="20"/>
          <w:szCs w:val="20"/>
          <w:highlight w:val="lightGray"/>
        </w:rPr>
        <w:t xml:space="preserve">Stellungnahmen der Bank sind jeweils bei Beanstandungen/Empfehlungen sowie bei noch nicht erledigten Beanstandungen und Empfehlungen des Vorjahres einzuholen und im Bericht darzulegen. </w:t>
      </w:r>
    </w:p>
    <w:p w14:paraId="04369CAB" w14:textId="77777777" w:rsidR="00885CE4" w:rsidRPr="00CB3EE6" w:rsidRDefault="00885CE4" w:rsidP="004B7B6C">
      <w:pPr>
        <w:jc w:val="both"/>
        <w:rPr>
          <w:rFonts w:ascii="Arial" w:hAnsi="Arial" w:cs="Arial"/>
          <w:i/>
          <w:sz w:val="20"/>
          <w:szCs w:val="20"/>
          <w:highlight w:val="lightGray"/>
        </w:rPr>
      </w:pPr>
    </w:p>
    <w:p w14:paraId="3E24FB67" w14:textId="13523792" w:rsidR="00A5682B" w:rsidRPr="00CB3EE6" w:rsidRDefault="00D36D11" w:rsidP="00CB3EE6">
      <w:pPr>
        <w:jc w:val="both"/>
        <w:rPr>
          <w:rFonts w:cs="Arial"/>
          <w:i/>
          <w:szCs w:val="20"/>
          <w:highlight w:val="lightGray"/>
        </w:rPr>
      </w:pPr>
      <w:r w:rsidRPr="00CB3EE6">
        <w:rPr>
          <w:rFonts w:ascii="Arial" w:hAnsi="Arial" w:cs="Arial"/>
          <w:i/>
          <w:sz w:val="20"/>
          <w:szCs w:val="20"/>
          <w:highlight w:val="lightGray"/>
        </w:rPr>
        <w:t>Die Beanstandungen und Empfehlungen sind</w:t>
      </w:r>
      <w:r w:rsidR="007E12DD" w:rsidRPr="00CB3EE6">
        <w:rPr>
          <w:rFonts w:ascii="Arial" w:hAnsi="Arial" w:cs="Arial"/>
          <w:i/>
          <w:sz w:val="20"/>
          <w:szCs w:val="20"/>
          <w:highlight w:val="lightGray"/>
        </w:rPr>
        <w:t xml:space="preserve"> gemäss der in der</w:t>
      </w:r>
      <w:r w:rsidR="004F737B" w:rsidRPr="00CB3EE6">
        <w:rPr>
          <w:rFonts w:ascii="Arial" w:hAnsi="Arial" w:cs="Arial"/>
          <w:i/>
          <w:sz w:val="20"/>
          <w:szCs w:val="20"/>
          <w:highlight w:val="lightGray"/>
        </w:rPr>
        <w:t xml:space="preserve"> Revisionsprüfungsrichtlinie festgelegten Klassifizierung </w:t>
      </w:r>
      <w:r w:rsidR="007E12DD" w:rsidRPr="00CB3EE6">
        <w:rPr>
          <w:rFonts w:ascii="Arial" w:hAnsi="Arial" w:cs="Arial"/>
          <w:i/>
          <w:sz w:val="20"/>
          <w:szCs w:val="20"/>
          <w:highlight w:val="lightGray"/>
        </w:rPr>
        <w:t>auszuweisen</w:t>
      </w:r>
      <w:r w:rsidR="004F737B" w:rsidRPr="00CB3EE6">
        <w:rPr>
          <w:rFonts w:ascii="Arial" w:hAnsi="Arial" w:cs="Arial"/>
          <w:i/>
          <w:sz w:val="20"/>
          <w:szCs w:val="20"/>
          <w:highlight w:val="lightGray"/>
        </w:rPr>
        <w:t xml:space="preserve">. </w:t>
      </w:r>
      <w:r w:rsidR="00E55E3C">
        <w:rPr>
          <w:rFonts w:ascii="Arial" w:hAnsi="Arial" w:cs="Arial"/>
          <w:i/>
          <w:sz w:val="20"/>
          <w:szCs w:val="20"/>
          <w:highlight w:val="lightGray"/>
        </w:rPr>
        <w:t xml:space="preserve">Zudem sind die Beanstandungen und Empfehlungen </w:t>
      </w:r>
      <w:r w:rsidR="004C2743">
        <w:rPr>
          <w:rFonts w:ascii="Arial" w:hAnsi="Arial" w:cs="Arial"/>
          <w:i/>
          <w:sz w:val="20"/>
          <w:szCs w:val="20"/>
          <w:highlight w:val="lightGray"/>
        </w:rPr>
        <w:t xml:space="preserve">so kenntlich zu machen, dass nachvollzogen werden kann, ob diese den Bewilligungsträger auf Einzelbasis (Bank oder das Unternehmen innerhalb einer Gruppe, das nach Art. 11 CRR bzw. </w:t>
      </w:r>
      <w:r w:rsidR="004C2743" w:rsidRPr="00A938AE">
        <w:rPr>
          <w:rFonts w:ascii="Arial" w:hAnsi="Arial" w:cs="Arial"/>
          <w:i/>
          <w:sz w:val="20"/>
          <w:szCs w:val="20"/>
          <w:highlight w:val="lightGray"/>
        </w:rPr>
        <w:t xml:space="preserve">Art. 3 Abs. </w:t>
      </w:r>
      <w:r w:rsidR="00953E7E" w:rsidRPr="00A938AE">
        <w:rPr>
          <w:rFonts w:ascii="Arial" w:hAnsi="Arial" w:cs="Arial"/>
          <w:i/>
          <w:sz w:val="20"/>
          <w:szCs w:val="20"/>
          <w:highlight w:val="lightGray"/>
        </w:rPr>
        <w:t>2</w:t>
      </w:r>
      <w:r w:rsidR="004C2743" w:rsidRPr="00A938AE">
        <w:rPr>
          <w:rFonts w:ascii="Arial" w:hAnsi="Arial" w:cs="Arial"/>
          <w:i/>
          <w:sz w:val="20"/>
          <w:szCs w:val="20"/>
          <w:highlight w:val="lightGray"/>
        </w:rPr>
        <w:t xml:space="preserve"> BankG </w:t>
      </w:r>
      <w:r w:rsidR="004C2743">
        <w:rPr>
          <w:rFonts w:ascii="Arial" w:hAnsi="Arial" w:cs="Arial"/>
          <w:i/>
          <w:sz w:val="20"/>
          <w:szCs w:val="20"/>
          <w:highlight w:val="lightGray"/>
        </w:rPr>
        <w:t xml:space="preserve">zur Sicherstellung der Erfüllung der aufsichtsrechtlichen Anforderungen auf konsolidierter Basis verpflichtet ist) oder eine Gruppenentität betreffen. </w:t>
      </w:r>
    </w:p>
    <w:p w14:paraId="2BCD697F" w14:textId="77777777" w:rsidR="007E12DD" w:rsidRDefault="007E12DD" w:rsidP="00A5682B">
      <w:pPr>
        <w:pStyle w:val="Listenabsatz"/>
        <w:jc w:val="both"/>
      </w:pPr>
    </w:p>
    <w:p w14:paraId="02550721" w14:textId="77777777" w:rsidR="004A6299" w:rsidRPr="00A5682B" w:rsidRDefault="00A5682B" w:rsidP="006F7AB5">
      <w:pPr>
        <w:pStyle w:val="FINMAGliederungEbene2"/>
      </w:pPr>
      <w:bookmarkStart w:id="3" w:name="_Toc216425752"/>
      <w:r w:rsidRPr="00A5682B">
        <w:t>Beanstandungen</w:t>
      </w:r>
      <w:bookmarkEnd w:id="3"/>
    </w:p>
    <w:p w14:paraId="12FF363D" w14:textId="77777777" w:rsidR="00A5682B" w:rsidRDefault="00A5682B" w:rsidP="00624857">
      <w:pPr>
        <w:jc w:val="both"/>
        <w:rPr>
          <w:rFonts w:ascii="Arial" w:hAnsi="Arial" w:cs="Arial"/>
          <w:sz w:val="20"/>
          <w:szCs w:val="20"/>
        </w:rPr>
      </w:pPr>
    </w:p>
    <w:p w14:paraId="63D06CF2" w14:textId="77777777" w:rsidR="007E12DD" w:rsidRPr="00A5682B" w:rsidRDefault="00A5682B" w:rsidP="00624857">
      <w:pPr>
        <w:jc w:val="both"/>
        <w:rPr>
          <w:rFonts w:ascii="Arial" w:hAnsi="Arial" w:cs="Arial"/>
          <w:i/>
          <w:sz w:val="20"/>
          <w:szCs w:val="20"/>
        </w:rPr>
      </w:pPr>
      <w:r w:rsidRPr="00897AEF">
        <w:rPr>
          <w:rFonts w:ascii="Arial" w:hAnsi="Arial" w:cs="Arial"/>
          <w:i/>
          <w:sz w:val="20"/>
          <w:szCs w:val="20"/>
          <w:highlight w:val="yellow"/>
        </w:rPr>
        <w:t>Tabelle / Text</w:t>
      </w:r>
    </w:p>
    <w:p w14:paraId="4DF065E4" w14:textId="77777777" w:rsidR="00A5682B" w:rsidRDefault="00A5682B" w:rsidP="00A5682B">
      <w:pPr>
        <w:jc w:val="both"/>
      </w:pPr>
    </w:p>
    <w:p w14:paraId="1A81BDD6" w14:textId="77777777" w:rsidR="00A5682B" w:rsidRDefault="00A5682B" w:rsidP="006F7AB5">
      <w:pPr>
        <w:pStyle w:val="FINMAGliederungEbene2"/>
      </w:pPr>
      <w:bookmarkStart w:id="4" w:name="_Toc216425753"/>
      <w:r w:rsidRPr="00A5682B">
        <w:t>Empfehlungen</w:t>
      </w:r>
      <w:bookmarkEnd w:id="4"/>
      <w:r w:rsidRPr="00A5682B">
        <w:t xml:space="preserve"> </w:t>
      </w:r>
    </w:p>
    <w:p w14:paraId="7E5C84B1" w14:textId="77777777" w:rsidR="00A5682B" w:rsidRDefault="00A5682B" w:rsidP="00A5682B">
      <w:pPr>
        <w:jc w:val="both"/>
      </w:pPr>
    </w:p>
    <w:p w14:paraId="3E5B8538"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58128631" w14:textId="77777777" w:rsidR="00A5682B" w:rsidRDefault="00A5682B" w:rsidP="00A5682B">
      <w:pPr>
        <w:jc w:val="both"/>
      </w:pPr>
    </w:p>
    <w:p w14:paraId="59B2DF44" w14:textId="77777777" w:rsidR="00A5682B" w:rsidRDefault="00A5682B" w:rsidP="006F7AB5">
      <w:pPr>
        <w:pStyle w:val="FINMAGliederungEbene2"/>
      </w:pPr>
      <w:bookmarkStart w:id="5" w:name="_Toc216425754"/>
      <w:r w:rsidRPr="00A5682B">
        <w:t>Beanstandungen</w:t>
      </w:r>
      <w:r>
        <w:t xml:space="preserve"> des Vorjahres</w:t>
      </w:r>
      <w:bookmarkEnd w:id="5"/>
    </w:p>
    <w:p w14:paraId="3E2C08E6" w14:textId="77777777" w:rsidR="00A5682B" w:rsidRDefault="00A5682B" w:rsidP="00A5682B">
      <w:pPr>
        <w:jc w:val="both"/>
      </w:pPr>
    </w:p>
    <w:p w14:paraId="3A5E2730" w14:textId="77777777" w:rsidR="00A5682B" w:rsidRDefault="00A5682B" w:rsidP="00A5682B">
      <w:pPr>
        <w:jc w:val="both"/>
      </w:pPr>
      <w:r w:rsidRPr="00897AEF">
        <w:rPr>
          <w:rFonts w:ascii="Arial" w:hAnsi="Arial" w:cs="Arial"/>
          <w:i/>
          <w:sz w:val="20"/>
          <w:szCs w:val="20"/>
          <w:highlight w:val="yellow"/>
        </w:rPr>
        <w:t>Tabelle / Text</w:t>
      </w:r>
    </w:p>
    <w:p w14:paraId="491228CA" w14:textId="77777777" w:rsidR="00885CE4" w:rsidRPr="00A5682B" w:rsidRDefault="00885CE4" w:rsidP="00A5682B">
      <w:pPr>
        <w:jc w:val="both"/>
      </w:pPr>
    </w:p>
    <w:p w14:paraId="58B3AABE" w14:textId="77777777" w:rsidR="00A5682B" w:rsidRDefault="00A5682B" w:rsidP="006F7AB5">
      <w:pPr>
        <w:pStyle w:val="FINMAGliederungEbene2"/>
      </w:pPr>
      <w:bookmarkStart w:id="6" w:name="_Toc216425755"/>
      <w:r>
        <w:t>Empfehlungen des Vorjahres</w:t>
      </w:r>
      <w:bookmarkEnd w:id="6"/>
    </w:p>
    <w:p w14:paraId="7FAA214C" w14:textId="77777777" w:rsidR="00A5682B" w:rsidRDefault="00A5682B" w:rsidP="00A5682B">
      <w:pPr>
        <w:jc w:val="both"/>
      </w:pPr>
    </w:p>
    <w:p w14:paraId="3CCC5E7D" w14:textId="77777777" w:rsidR="00A5682B" w:rsidRPr="00A5682B" w:rsidRDefault="00A5682B" w:rsidP="00A5682B">
      <w:pPr>
        <w:jc w:val="both"/>
        <w:rPr>
          <w:rFonts w:ascii="Arial" w:hAnsi="Arial" w:cs="Arial"/>
          <w:i/>
          <w:sz w:val="20"/>
          <w:szCs w:val="20"/>
        </w:rPr>
      </w:pPr>
      <w:r w:rsidRPr="00897AEF">
        <w:rPr>
          <w:rFonts w:ascii="Arial" w:hAnsi="Arial" w:cs="Arial"/>
          <w:i/>
          <w:sz w:val="20"/>
          <w:szCs w:val="20"/>
          <w:highlight w:val="yellow"/>
        </w:rPr>
        <w:t>Tabelle / Text</w:t>
      </w:r>
    </w:p>
    <w:p w14:paraId="0751C13F" w14:textId="77777777" w:rsidR="00A5682B" w:rsidRDefault="00A5682B" w:rsidP="00A5682B">
      <w:pPr>
        <w:jc w:val="both"/>
      </w:pPr>
    </w:p>
    <w:p w14:paraId="666F4D93" w14:textId="77777777" w:rsidR="00885CE4" w:rsidRPr="00C44852" w:rsidRDefault="00A30784" w:rsidP="006F7AB5">
      <w:pPr>
        <w:pStyle w:val="FINMAGliederungEbene2"/>
      </w:pPr>
      <w:bookmarkStart w:id="7" w:name="_Toc216425756"/>
      <w:r w:rsidRPr="00C44852">
        <w:t xml:space="preserve">Bestätigung zu </w:t>
      </w:r>
      <w:r w:rsidR="00885CE4" w:rsidRPr="00C44852">
        <w:t>aufsicht</w:t>
      </w:r>
      <w:r w:rsidR="00907A61" w:rsidRPr="00CB3EE6">
        <w:t xml:space="preserve">srechtlichen </w:t>
      </w:r>
      <w:r w:rsidR="00885CE4" w:rsidRPr="00C44852">
        <w:t>Vorgaben der FMA</w:t>
      </w:r>
      <w:bookmarkEnd w:id="7"/>
    </w:p>
    <w:p w14:paraId="56FFE960" w14:textId="77777777" w:rsidR="00885CE4" w:rsidRPr="00C44852" w:rsidRDefault="00885CE4" w:rsidP="00CB3EE6">
      <w:pPr>
        <w:jc w:val="both"/>
      </w:pPr>
    </w:p>
    <w:p w14:paraId="32A8F413" w14:textId="542A895F" w:rsidR="00885CE4" w:rsidRPr="00CB3EE6" w:rsidRDefault="004B7B6C" w:rsidP="00CB3EE6">
      <w:pPr>
        <w:jc w:val="both"/>
        <w:rPr>
          <w:rFonts w:cs="Arial"/>
          <w:i/>
          <w:szCs w:val="20"/>
        </w:rPr>
      </w:pPr>
      <w:r w:rsidRPr="00CB3EE6">
        <w:rPr>
          <w:rFonts w:ascii="Arial" w:hAnsi="Arial" w:cs="Arial"/>
          <w:i/>
          <w:sz w:val="20"/>
          <w:szCs w:val="20"/>
          <w:highlight w:val="lightGray"/>
        </w:rPr>
        <w:t xml:space="preserve">Die Revisionsstelle </w:t>
      </w:r>
      <w:r w:rsidR="00633761" w:rsidRPr="00CB3EE6">
        <w:rPr>
          <w:rFonts w:ascii="Arial" w:hAnsi="Arial" w:cs="Arial"/>
          <w:i/>
          <w:sz w:val="20"/>
          <w:szCs w:val="20"/>
          <w:highlight w:val="lightGray"/>
        </w:rPr>
        <w:t>bestätigt</w:t>
      </w:r>
      <w:r w:rsidRPr="00CB3EE6">
        <w:rPr>
          <w:rFonts w:ascii="Arial" w:hAnsi="Arial" w:cs="Arial"/>
          <w:i/>
          <w:sz w:val="20"/>
          <w:szCs w:val="20"/>
          <w:highlight w:val="lightGray"/>
        </w:rPr>
        <w:t xml:space="preserve"> </w:t>
      </w:r>
      <w:r w:rsidR="00633761" w:rsidRPr="00CB3EE6">
        <w:rPr>
          <w:rFonts w:ascii="Arial" w:hAnsi="Arial" w:cs="Arial"/>
          <w:i/>
          <w:sz w:val="20"/>
          <w:szCs w:val="20"/>
          <w:highlight w:val="lightGray"/>
        </w:rPr>
        <w:t xml:space="preserve">an dieser Stelle </w:t>
      </w:r>
      <w:r w:rsidRPr="00CB3EE6">
        <w:rPr>
          <w:rFonts w:ascii="Arial" w:hAnsi="Arial" w:cs="Arial"/>
          <w:i/>
          <w:sz w:val="20"/>
          <w:szCs w:val="20"/>
          <w:highlight w:val="lightGray"/>
        </w:rPr>
        <w:t xml:space="preserve">die Einhaltung der im Berichtszeitraum </w:t>
      </w:r>
      <w:r w:rsidR="00167878" w:rsidRPr="00CB3EE6">
        <w:rPr>
          <w:rFonts w:ascii="Arial" w:hAnsi="Arial" w:cs="Arial"/>
          <w:i/>
          <w:sz w:val="20"/>
          <w:szCs w:val="20"/>
          <w:highlight w:val="lightGray"/>
        </w:rPr>
        <w:t>anwendbaren</w:t>
      </w:r>
      <w:r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aufsichtlichen Verwaltungsakte </w:t>
      </w:r>
      <w:r w:rsidR="00A4767C" w:rsidRPr="00CB3EE6">
        <w:rPr>
          <w:rFonts w:ascii="Arial" w:hAnsi="Arial" w:cs="Arial"/>
          <w:i/>
          <w:sz w:val="20"/>
          <w:szCs w:val="20"/>
          <w:highlight w:val="lightGray"/>
        </w:rPr>
        <w:t>der FMA</w:t>
      </w:r>
      <w:r w:rsidRPr="00C44852">
        <w:rPr>
          <w:rFonts w:ascii="Arial" w:hAnsi="Arial" w:cs="Arial"/>
          <w:i/>
          <w:sz w:val="20"/>
          <w:szCs w:val="20"/>
          <w:highlight w:val="lightGray"/>
        </w:rPr>
        <w:t>,</w:t>
      </w:r>
      <w:r w:rsidRPr="00CB3EE6">
        <w:rPr>
          <w:rFonts w:ascii="Arial" w:hAnsi="Arial" w:cs="Arial"/>
          <w:i/>
          <w:sz w:val="20"/>
          <w:szCs w:val="20"/>
          <w:highlight w:val="lightGray"/>
        </w:rPr>
        <w:t xml:space="preserve"> </w:t>
      </w:r>
      <w:r w:rsidR="0030307F" w:rsidRPr="00CB3EE6">
        <w:rPr>
          <w:rFonts w:ascii="Arial" w:hAnsi="Arial" w:cs="Arial"/>
          <w:i/>
          <w:sz w:val="20"/>
          <w:szCs w:val="20"/>
          <w:highlight w:val="lightGray"/>
        </w:rPr>
        <w:t>die</w:t>
      </w:r>
      <w:r w:rsidRPr="00C44852">
        <w:rPr>
          <w:rFonts w:ascii="Arial" w:hAnsi="Arial" w:cs="Arial"/>
          <w:i/>
          <w:sz w:val="20"/>
          <w:szCs w:val="20"/>
          <w:highlight w:val="lightGray"/>
        </w:rPr>
        <w:t xml:space="preserve"> explizit </w:t>
      </w:r>
      <w:r w:rsidR="00A4767C" w:rsidRPr="00CB3EE6">
        <w:rPr>
          <w:rFonts w:ascii="Arial" w:hAnsi="Arial" w:cs="Arial"/>
          <w:i/>
          <w:sz w:val="20"/>
          <w:szCs w:val="20"/>
          <w:highlight w:val="lightGray"/>
        </w:rPr>
        <w:t xml:space="preserve">und individuell für die zu </w:t>
      </w:r>
      <w:r w:rsidRPr="00C44852">
        <w:rPr>
          <w:rFonts w:ascii="Arial" w:hAnsi="Arial" w:cs="Arial"/>
          <w:i/>
          <w:sz w:val="20"/>
          <w:szCs w:val="20"/>
          <w:highlight w:val="lightGray"/>
        </w:rPr>
        <w:t>prüfende Bank</w:t>
      </w:r>
      <w:r w:rsidR="004C2743">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377A0B">
        <w:rPr>
          <w:rFonts w:ascii="Arial" w:hAnsi="Arial" w:cs="Arial"/>
          <w:i/>
          <w:sz w:val="20"/>
          <w:szCs w:val="20"/>
          <w:highlight w:val="lightGray"/>
        </w:rPr>
        <w:t>bzw. Gruppe</w:t>
      </w:r>
      <w:r w:rsidRPr="00C44852">
        <w:rPr>
          <w:rFonts w:ascii="Arial" w:hAnsi="Arial" w:cs="Arial"/>
          <w:i/>
          <w:sz w:val="20"/>
          <w:szCs w:val="20"/>
          <w:highlight w:val="lightGray"/>
        </w:rPr>
        <w:t xml:space="preserve"> </w:t>
      </w:r>
      <w:r w:rsidR="00A4767C" w:rsidRPr="00CB3EE6">
        <w:rPr>
          <w:rFonts w:ascii="Arial" w:hAnsi="Arial" w:cs="Arial"/>
          <w:i/>
          <w:sz w:val="20"/>
          <w:szCs w:val="20"/>
          <w:highlight w:val="lightGray"/>
        </w:rPr>
        <w:t>gelten</w:t>
      </w:r>
      <w:r w:rsidRPr="00C44852">
        <w:rPr>
          <w:rFonts w:ascii="Arial" w:hAnsi="Arial" w:cs="Arial"/>
          <w:i/>
          <w:sz w:val="20"/>
          <w:szCs w:val="20"/>
          <w:highlight w:val="lightGray"/>
        </w:rPr>
        <w:t>.</w:t>
      </w:r>
      <w:r w:rsidR="0030307F" w:rsidRPr="00CB3EE6">
        <w:rPr>
          <w:rFonts w:ascii="Arial" w:hAnsi="Arial" w:cs="Arial"/>
          <w:i/>
          <w:sz w:val="20"/>
          <w:szCs w:val="20"/>
          <w:highlight w:val="lightGray"/>
        </w:rPr>
        <w:t xml:space="preserve"> </w:t>
      </w:r>
      <w:r w:rsidR="00167878" w:rsidRPr="00CB3EE6">
        <w:rPr>
          <w:rFonts w:ascii="Arial" w:hAnsi="Arial" w:cs="Arial"/>
          <w:i/>
          <w:sz w:val="20"/>
          <w:szCs w:val="20"/>
          <w:highlight w:val="lightGray"/>
        </w:rPr>
        <w:t xml:space="preserve">Zu berücksichtigen </w:t>
      </w:r>
      <w:r w:rsidR="0030307F" w:rsidRPr="00CB3EE6">
        <w:rPr>
          <w:rFonts w:ascii="Arial" w:hAnsi="Arial" w:cs="Arial"/>
          <w:i/>
          <w:sz w:val="20"/>
          <w:szCs w:val="20"/>
          <w:highlight w:val="lightGray"/>
        </w:rPr>
        <w:t xml:space="preserve">sind </w:t>
      </w:r>
      <w:r w:rsidR="00167878" w:rsidRPr="00CB3EE6">
        <w:rPr>
          <w:rFonts w:ascii="Arial" w:hAnsi="Arial" w:cs="Arial"/>
          <w:i/>
          <w:sz w:val="20"/>
          <w:szCs w:val="20"/>
          <w:highlight w:val="lightGray"/>
        </w:rPr>
        <w:t xml:space="preserve">gegebenenfalls </w:t>
      </w:r>
      <w:r w:rsidR="0030307F" w:rsidRPr="00CB3EE6">
        <w:rPr>
          <w:rFonts w:ascii="Arial" w:hAnsi="Arial" w:cs="Arial"/>
          <w:i/>
          <w:sz w:val="20"/>
          <w:szCs w:val="20"/>
          <w:highlight w:val="lightGray"/>
        </w:rPr>
        <w:t>auch nicht-normative Akte (z</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B</w:t>
      </w:r>
      <w:r w:rsidR="007758D5" w:rsidRPr="00CB3EE6">
        <w:rPr>
          <w:rFonts w:ascii="Arial" w:hAnsi="Arial" w:cs="Arial"/>
          <w:i/>
          <w:sz w:val="20"/>
          <w:szCs w:val="20"/>
          <w:highlight w:val="lightGray"/>
        </w:rPr>
        <w:t>.</w:t>
      </w:r>
      <w:r w:rsidR="0030307F" w:rsidRPr="00CB3EE6">
        <w:rPr>
          <w:rFonts w:ascii="Arial" w:hAnsi="Arial" w:cs="Arial"/>
          <w:i/>
          <w:sz w:val="20"/>
          <w:szCs w:val="20"/>
          <w:highlight w:val="lightGray"/>
        </w:rPr>
        <w:t xml:space="preserve"> Empfehlungen), sofern diese die gegenständlichen </w:t>
      </w:r>
      <w:r w:rsidR="00167878" w:rsidRPr="00CB3EE6">
        <w:rPr>
          <w:rFonts w:ascii="Arial" w:hAnsi="Arial" w:cs="Arial"/>
          <w:i/>
          <w:sz w:val="20"/>
          <w:szCs w:val="20"/>
          <w:highlight w:val="lightGray"/>
        </w:rPr>
        <w:t>aufsichtlichen Verwaltungsakte</w:t>
      </w:r>
      <w:r w:rsidR="0030307F" w:rsidRPr="00CB3EE6">
        <w:rPr>
          <w:rFonts w:ascii="Arial" w:hAnsi="Arial" w:cs="Arial"/>
          <w:i/>
          <w:sz w:val="20"/>
          <w:szCs w:val="20"/>
          <w:highlight w:val="lightGray"/>
        </w:rPr>
        <w:t xml:space="preserve"> definieren oder näher umschreiben.</w:t>
      </w:r>
    </w:p>
    <w:p w14:paraId="16A83B78" w14:textId="77777777" w:rsidR="004B7B6C" w:rsidRDefault="004B7B6C" w:rsidP="00CB3EE6">
      <w:pPr>
        <w:jc w:val="both"/>
      </w:pPr>
    </w:p>
    <w:p w14:paraId="4EFE37C5" w14:textId="77777777" w:rsidR="00004C8E" w:rsidRDefault="00004C8E" w:rsidP="006F7AB5">
      <w:pPr>
        <w:pStyle w:val="FINMAGliederungEbene2"/>
      </w:pPr>
      <w:bookmarkStart w:id="8" w:name="_Toc216425757"/>
      <w:r>
        <w:t xml:space="preserve">Wesentliche Feststellungen </w:t>
      </w:r>
      <w:r w:rsidR="00892678">
        <w:t>der</w:t>
      </w:r>
      <w:r>
        <w:t xml:space="preserve"> Interne Revision</w:t>
      </w:r>
      <w:bookmarkEnd w:id="8"/>
    </w:p>
    <w:p w14:paraId="09AE5DDB" w14:textId="77777777" w:rsidR="00004C8E" w:rsidRDefault="00004C8E" w:rsidP="00CB3EE6">
      <w:pPr>
        <w:pStyle w:val="Listenabsatz"/>
        <w:ind w:left="0"/>
        <w:jc w:val="both"/>
        <w:rPr>
          <w:rFonts w:cs="Arial"/>
          <w:i/>
          <w:szCs w:val="20"/>
          <w:highlight w:val="lightGray"/>
        </w:rPr>
      </w:pPr>
    </w:p>
    <w:p w14:paraId="01535382" w14:textId="7EE4D73A" w:rsidR="00004C8E" w:rsidRPr="00004C8E" w:rsidRDefault="00004C8E" w:rsidP="00CB3EE6">
      <w:pPr>
        <w:pStyle w:val="Listenabsatz"/>
        <w:ind w:left="0"/>
        <w:jc w:val="both"/>
        <w:rPr>
          <w:rFonts w:cs="Arial"/>
          <w:i/>
          <w:szCs w:val="20"/>
          <w:highlight w:val="lightGray"/>
        </w:rPr>
      </w:pPr>
      <w:r w:rsidRPr="00004C8E">
        <w:rPr>
          <w:rFonts w:cs="Arial"/>
          <w:i/>
          <w:szCs w:val="20"/>
          <w:highlight w:val="lightGray"/>
        </w:rPr>
        <w:t>Die Revisionsstelle beschreibt an dieser Stelle allfällige wesentliche Feststellungen</w:t>
      </w:r>
      <w:r w:rsidR="00776C82">
        <w:rPr>
          <w:rFonts w:cs="Arial"/>
          <w:i/>
          <w:szCs w:val="20"/>
          <w:highlight w:val="lightGray"/>
        </w:rPr>
        <w:t xml:space="preserve"> (v.a. Feststellungen mit hoher Gewichtung)</w:t>
      </w:r>
      <w:r w:rsidR="00776C82" w:rsidRPr="00004C8E">
        <w:rPr>
          <w:rFonts w:cs="Arial"/>
          <w:i/>
          <w:szCs w:val="20"/>
          <w:highlight w:val="lightGray"/>
        </w:rPr>
        <w:t>,</w:t>
      </w:r>
      <w:r w:rsidR="00776C82">
        <w:rPr>
          <w:rFonts w:cs="Arial"/>
          <w:i/>
          <w:szCs w:val="20"/>
          <w:highlight w:val="lightGray"/>
        </w:rPr>
        <w:t xml:space="preserve"> </w:t>
      </w:r>
      <w:r w:rsidRPr="00004C8E">
        <w:rPr>
          <w:rFonts w:cs="Arial"/>
          <w:i/>
          <w:szCs w:val="20"/>
          <w:highlight w:val="lightGray"/>
        </w:rPr>
        <w:t xml:space="preserve">durch </w:t>
      </w:r>
      <w:r>
        <w:rPr>
          <w:rFonts w:cs="Arial"/>
          <w:i/>
          <w:szCs w:val="20"/>
          <w:highlight w:val="lightGray"/>
        </w:rPr>
        <w:t xml:space="preserve">die </w:t>
      </w:r>
      <w:r w:rsidR="0005430B">
        <w:rPr>
          <w:rFonts w:cs="Arial"/>
          <w:i/>
          <w:szCs w:val="20"/>
          <w:highlight w:val="lightGray"/>
        </w:rPr>
        <w:t>I</w:t>
      </w:r>
      <w:r>
        <w:rPr>
          <w:rFonts w:cs="Arial"/>
          <w:i/>
          <w:szCs w:val="20"/>
          <w:highlight w:val="lightGray"/>
        </w:rPr>
        <w:t>nterne Revision</w:t>
      </w:r>
      <w:r w:rsidR="00365BF1">
        <w:rPr>
          <w:rFonts w:cs="Arial"/>
          <w:i/>
          <w:szCs w:val="20"/>
          <w:highlight w:val="lightGray"/>
        </w:rPr>
        <w:t xml:space="preserve"> (Gruppeninnenrevision)</w:t>
      </w:r>
      <w:r>
        <w:rPr>
          <w:rFonts w:cs="Arial"/>
          <w:i/>
          <w:szCs w:val="20"/>
          <w:highlight w:val="lightGray"/>
        </w:rPr>
        <w:t>.</w:t>
      </w:r>
      <w:r w:rsidRPr="00004C8E">
        <w:rPr>
          <w:rFonts w:cs="Arial"/>
          <w:i/>
          <w:szCs w:val="20"/>
          <w:highlight w:val="lightGray"/>
        </w:rPr>
        <w:t xml:space="preserve"> Die Revisionsstelle hat die Feststellungen</w:t>
      </w:r>
      <w:r w:rsidR="00CD5C34">
        <w:rPr>
          <w:rFonts w:cs="Arial"/>
          <w:i/>
          <w:szCs w:val="20"/>
          <w:highlight w:val="lightGray"/>
        </w:rPr>
        <w:t xml:space="preserve"> </w:t>
      </w:r>
      <w:r w:rsidRPr="00004C8E">
        <w:rPr>
          <w:rFonts w:cs="Arial"/>
          <w:i/>
          <w:szCs w:val="20"/>
          <w:highlight w:val="lightGray"/>
        </w:rPr>
        <w:t xml:space="preserve">sowie deren Auswirkungen auf das Risikoprofil der </w:t>
      </w:r>
      <w:r w:rsidR="00F83287">
        <w:rPr>
          <w:rFonts w:cs="Arial"/>
          <w:i/>
          <w:szCs w:val="20"/>
          <w:highlight w:val="lightGray"/>
        </w:rPr>
        <w:t xml:space="preserve">Bank oder </w:t>
      </w:r>
      <w:r w:rsidR="00377A0B">
        <w:rPr>
          <w:rFonts w:cs="Arial"/>
          <w:i/>
          <w:szCs w:val="20"/>
          <w:highlight w:val="lightGray"/>
        </w:rPr>
        <w:t xml:space="preserve">bzw. Gruppe </w:t>
      </w:r>
      <w:r w:rsidRPr="00004C8E">
        <w:rPr>
          <w:rFonts w:cs="Arial"/>
          <w:i/>
          <w:szCs w:val="20"/>
          <w:highlight w:val="lightGray"/>
        </w:rPr>
        <w:t xml:space="preserve">angemessen zu würdigen. </w:t>
      </w:r>
      <w:r w:rsidR="00916455" w:rsidRPr="00004C8E">
        <w:rPr>
          <w:rFonts w:cs="Arial"/>
          <w:i/>
          <w:szCs w:val="20"/>
          <w:highlight w:val="lightGray"/>
        </w:rPr>
        <w:t>Die Revisionsstelle</w:t>
      </w:r>
      <w:r w:rsidR="00916455">
        <w:rPr>
          <w:rFonts w:cs="Arial"/>
          <w:i/>
          <w:szCs w:val="20"/>
          <w:highlight w:val="lightGray"/>
        </w:rPr>
        <w:t xml:space="preserve"> hat an dieser Stelle auch eine Auflistung sämtlicher Prüfthemen der Internen Revision im Berichtszeitraum darzustellen. </w:t>
      </w:r>
      <w:r w:rsidRPr="00004C8E">
        <w:rPr>
          <w:rFonts w:cs="Arial"/>
          <w:i/>
          <w:szCs w:val="20"/>
          <w:highlight w:val="lightGray"/>
        </w:rPr>
        <w:t>Sofern die Feststellungen an anderer Stelle im Bericht dargestellt werden, ist eine entsprechende Referenz ausreichend.</w:t>
      </w:r>
    </w:p>
    <w:p w14:paraId="74B7577F" w14:textId="77777777" w:rsidR="00004C8E" w:rsidRDefault="00004C8E" w:rsidP="00CB3EE6">
      <w:pPr>
        <w:pStyle w:val="Listenabsatz"/>
        <w:ind w:left="0"/>
        <w:jc w:val="both"/>
      </w:pPr>
    </w:p>
    <w:p w14:paraId="38A4A8F6" w14:textId="77777777" w:rsidR="004B7B6C" w:rsidRPr="00CB3EE6" w:rsidRDefault="00AB7758" w:rsidP="006F7AB5">
      <w:pPr>
        <w:pStyle w:val="FINMAGliederungEbene2"/>
      </w:pPr>
      <w:bookmarkStart w:id="9" w:name="_Toc216425758"/>
      <w:r>
        <w:t xml:space="preserve">Wesentliche </w:t>
      </w:r>
      <w:r w:rsidR="00F1444D" w:rsidRPr="00F1444D">
        <w:t xml:space="preserve">Feststellungen </w:t>
      </w:r>
      <w:r w:rsidR="00F1444D">
        <w:t xml:space="preserve">durch </w:t>
      </w:r>
      <w:r w:rsidR="00F1444D" w:rsidRPr="00F1444D">
        <w:t>Dritte</w:t>
      </w:r>
      <w:bookmarkEnd w:id="9"/>
    </w:p>
    <w:p w14:paraId="1FF2B41E" w14:textId="77777777" w:rsidR="004B7B6C" w:rsidRDefault="004B7B6C" w:rsidP="00CB3EE6">
      <w:pPr>
        <w:jc w:val="both"/>
      </w:pPr>
    </w:p>
    <w:p w14:paraId="3CF4B911" w14:textId="2C21C47B" w:rsidR="0026683E" w:rsidRDefault="00EA0D88" w:rsidP="00EA0D88">
      <w:pPr>
        <w:jc w:val="both"/>
        <w:rPr>
          <w:rFonts w:ascii="Arial" w:hAnsi="Arial" w:cs="Arial"/>
          <w:i/>
          <w:sz w:val="20"/>
          <w:szCs w:val="20"/>
          <w:highlight w:val="lightGray"/>
        </w:rPr>
      </w:pPr>
      <w:r w:rsidRPr="00897AEF">
        <w:rPr>
          <w:rFonts w:ascii="Arial" w:hAnsi="Arial" w:cs="Arial"/>
          <w:i/>
          <w:sz w:val="20"/>
          <w:szCs w:val="20"/>
          <w:highlight w:val="lightGray"/>
        </w:rPr>
        <w:t xml:space="preserve">Die Revisionsstelle </w:t>
      </w:r>
      <w:r w:rsidR="00633761">
        <w:rPr>
          <w:rFonts w:ascii="Arial" w:hAnsi="Arial" w:cs="Arial"/>
          <w:i/>
          <w:sz w:val="20"/>
          <w:szCs w:val="20"/>
          <w:highlight w:val="lightGray"/>
        </w:rPr>
        <w:t xml:space="preserve">beschreibt an dieser Stelle allfällige </w:t>
      </w:r>
      <w:r w:rsidR="00AB7758">
        <w:rPr>
          <w:rFonts w:ascii="Arial" w:hAnsi="Arial" w:cs="Arial"/>
          <w:i/>
          <w:sz w:val="20"/>
          <w:szCs w:val="20"/>
          <w:highlight w:val="lightGray"/>
        </w:rPr>
        <w:t>wesentliche</w:t>
      </w:r>
      <w:r w:rsidR="00912129">
        <w:rPr>
          <w:rFonts w:ascii="Arial" w:hAnsi="Arial" w:cs="Arial"/>
          <w:i/>
          <w:sz w:val="20"/>
          <w:szCs w:val="20"/>
          <w:highlight w:val="lightGray"/>
        </w:rPr>
        <w:t>, aufsichtsrechtlich relevante</w:t>
      </w:r>
      <w:r w:rsidR="00AB7758">
        <w:rPr>
          <w:rFonts w:ascii="Arial" w:hAnsi="Arial" w:cs="Arial"/>
          <w:i/>
          <w:sz w:val="20"/>
          <w:szCs w:val="20"/>
          <w:highlight w:val="lightGray"/>
        </w:rPr>
        <w:t xml:space="preserve"> </w:t>
      </w:r>
      <w:r w:rsidR="00633761">
        <w:rPr>
          <w:rFonts w:ascii="Arial" w:hAnsi="Arial" w:cs="Arial"/>
          <w:i/>
          <w:sz w:val="20"/>
          <w:szCs w:val="20"/>
          <w:highlight w:val="lightGray"/>
        </w:rPr>
        <w:t xml:space="preserve">Feststellungen </w:t>
      </w:r>
      <w:r w:rsidR="00F1444D">
        <w:rPr>
          <w:rFonts w:ascii="Arial" w:hAnsi="Arial" w:cs="Arial"/>
          <w:i/>
          <w:sz w:val="20"/>
          <w:szCs w:val="20"/>
          <w:highlight w:val="lightGray"/>
        </w:rPr>
        <w:t>durch</w:t>
      </w:r>
      <w:r w:rsidR="00633761">
        <w:rPr>
          <w:rFonts w:ascii="Arial" w:hAnsi="Arial" w:cs="Arial"/>
          <w:i/>
          <w:sz w:val="20"/>
          <w:szCs w:val="20"/>
          <w:highlight w:val="lightGray"/>
        </w:rPr>
        <w:t xml:space="preserve"> Dritte (</w:t>
      </w:r>
      <w:r>
        <w:rPr>
          <w:rFonts w:ascii="Arial" w:hAnsi="Arial" w:cs="Arial"/>
          <w:i/>
          <w:sz w:val="20"/>
          <w:szCs w:val="20"/>
          <w:highlight w:val="lightGray"/>
        </w:rPr>
        <w:t>z</w:t>
      </w:r>
      <w:r w:rsidR="00776C82">
        <w:rPr>
          <w:rFonts w:ascii="Arial" w:hAnsi="Arial" w:cs="Arial"/>
          <w:i/>
          <w:sz w:val="20"/>
          <w:szCs w:val="20"/>
          <w:highlight w:val="lightGray"/>
        </w:rPr>
        <w:t>.</w:t>
      </w:r>
      <w:r>
        <w:rPr>
          <w:rFonts w:ascii="Arial" w:hAnsi="Arial" w:cs="Arial"/>
          <w:i/>
          <w:sz w:val="20"/>
          <w:szCs w:val="20"/>
          <w:highlight w:val="lightGray"/>
        </w:rPr>
        <w:t>B</w:t>
      </w:r>
      <w:r w:rsidR="00776C82">
        <w:rPr>
          <w:rFonts w:ascii="Arial" w:hAnsi="Arial" w:cs="Arial"/>
          <w:i/>
          <w:sz w:val="20"/>
          <w:szCs w:val="20"/>
          <w:highlight w:val="lightGray"/>
        </w:rPr>
        <w:t>.</w:t>
      </w:r>
      <w:r>
        <w:rPr>
          <w:rFonts w:ascii="Arial" w:hAnsi="Arial" w:cs="Arial"/>
          <w:i/>
          <w:sz w:val="20"/>
          <w:szCs w:val="20"/>
          <w:highlight w:val="lightGray"/>
        </w:rPr>
        <w:t xml:space="preserve"> </w:t>
      </w:r>
      <w:r w:rsidR="004D604F">
        <w:rPr>
          <w:rFonts w:ascii="Arial" w:hAnsi="Arial" w:cs="Arial"/>
          <w:i/>
          <w:sz w:val="20"/>
          <w:szCs w:val="20"/>
          <w:highlight w:val="lightGray"/>
        </w:rPr>
        <w:t xml:space="preserve">die für die konsolidierte Aufsicht zuständige ausländische </w:t>
      </w:r>
      <w:r w:rsidR="00633761">
        <w:rPr>
          <w:rFonts w:ascii="Arial" w:hAnsi="Arial" w:cs="Arial"/>
          <w:i/>
          <w:sz w:val="20"/>
          <w:szCs w:val="20"/>
          <w:highlight w:val="lightGray"/>
        </w:rPr>
        <w:t>B</w:t>
      </w:r>
      <w:r>
        <w:rPr>
          <w:rFonts w:ascii="Arial" w:hAnsi="Arial" w:cs="Arial"/>
          <w:i/>
          <w:sz w:val="20"/>
          <w:szCs w:val="20"/>
          <w:highlight w:val="lightGray"/>
        </w:rPr>
        <w:t xml:space="preserve">ehörde; Ratingagenturen; </w:t>
      </w:r>
      <w:r w:rsidR="00633761">
        <w:rPr>
          <w:rFonts w:ascii="Arial" w:hAnsi="Arial" w:cs="Arial"/>
          <w:i/>
          <w:sz w:val="20"/>
          <w:szCs w:val="20"/>
          <w:highlight w:val="lightGray"/>
        </w:rPr>
        <w:t>a</w:t>
      </w:r>
      <w:r>
        <w:rPr>
          <w:rFonts w:ascii="Arial" w:hAnsi="Arial" w:cs="Arial"/>
          <w:i/>
          <w:sz w:val="20"/>
          <w:szCs w:val="20"/>
          <w:highlight w:val="lightGray"/>
        </w:rPr>
        <w:t xml:space="preserve">ndere </w:t>
      </w:r>
      <w:r w:rsidR="009F1ACA">
        <w:rPr>
          <w:rFonts w:ascii="Arial" w:hAnsi="Arial" w:cs="Arial"/>
          <w:i/>
          <w:sz w:val="20"/>
          <w:szCs w:val="20"/>
          <w:highlight w:val="lightGray"/>
        </w:rPr>
        <w:t>Revisionsstellen</w:t>
      </w:r>
      <w:r>
        <w:rPr>
          <w:rFonts w:ascii="Arial" w:hAnsi="Arial" w:cs="Arial"/>
          <w:i/>
          <w:sz w:val="20"/>
          <w:szCs w:val="20"/>
          <w:highlight w:val="lightGray"/>
        </w:rPr>
        <w:t>)</w:t>
      </w:r>
      <w:r w:rsidR="00AB7758">
        <w:rPr>
          <w:rFonts w:ascii="Arial" w:hAnsi="Arial" w:cs="Arial"/>
          <w:i/>
          <w:sz w:val="20"/>
          <w:szCs w:val="20"/>
          <w:highlight w:val="lightGray"/>
        </w:rPr>
        <w:t>,</w:t>
      </w:r>
      <w:r w:rsidR="001A1A8F">
        <w:rPr>
          <w:rFonts w:ascii="Arial" w:hAnsi="Arial" w:cs="Arial"/>
          <w:i/>
          <w:sz w:val="20"/>
          <w:szCs w:val="20"/>
          <w:highlight w:val="lightGray"/>
        </w:rPr>
        <w:t xml:space="preserve"> zu denen sie innerhalb oder ausserhalb der Prüfungstätigkeit Kenntnis erlangt hat. Die </w:t>
      </w:r>
      <w:r w:rsidR="009F1ACA">
        <w:rPr>
          <w:rFonts w:ascii="Arial" w:hAnsi="Arial" w:cs="Arial"/>
          <w:i/>
          <w:sz w:val="20"/>
          <w:szCs w:val="20"/>
          <w:highlight w:val="lightGray"/>
        </w:rPr>
        <w:t>Revisionsstelle</w:t>
      </w:r>
      <w:r w:rsidR="001A1A8F">
        <w:rPr>
          <w:rFonts w:ascii="Arial" w:hAnsi="Arial" w:cs="Arial"/>
          <w:i/>
          <w:sz w:val="20"/>
          <w:szCs w:val="20"/>
          <w:highlight w:val="lightGray"/>
        </w:rPr>
        <w:t xml:space="preserve"> hat die Feststellungen, sowie deren Auswirkungen auf das Risikoprofil </w:t>
      </w:r>
      <w:r w:rsidR="00377A0B">
        <w:rPr>
          <w:rFonts w:ascii="Arial" w:hAnsi="Arial" w:cs="Arial"/>
          <w:i/>
          <w:sz w:val="20"/>
          <w:szCs w:val="20"/>
          <w:highlight w:val="lightGray"/>
        </w:rPr>
        <w:t xml:space="preserve">der </w:t>
      </w:r>
      <w:r w:rsidR="00377A0B" w:rsidRPr="00C44852">
        <w:rPr>
          <w:rFonts w:ascii="Arial" w:hAnsi="Arial" w:cs="Arial"/>
          <w:i/>
          <w:sz w:val="20"/>
          <w:szCs w:val="20"/>
          <w:highlight w:val="lightGray"/>
        </w:rPr>
        <w:t>prüfenden Bank</w:t>
      </w:r>
      <w:r w:rsidR="00F83287">
        <w:rPr>
          <w:rFonts w:ascii="Arial" w:hAnsi="Arial" w:cs="Arial"/>
          <w:i/>
          <w:sz w:val="20"/>
          <w:szCs w:val="20"/>
          <w:highlight w:val="lightGray"/>
        </w:rPr>
        <w:t xml:space="preserve"> </w:t>
      </w:r>
      <w:r w:rsidR="00377A0B">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sidR="001A1A8F">
        <w:rPr>
          <w:rFonts w:ascii="Arial" w:hAnsi="Arial" w:cs="Arial"/>
          <w:i/>
          <w:sz w:val="20"/>
          <w:szCs w:val="20"/>
          <w:highlight w:val="lightGray"/>
        </w:rPr>
        <w:t xml:space="preserve">angemessen zu würdigen. </w:t>
      </w:r>
      <w:r w:rsidR="00AB7758">
        <w:rPr>
          <w:rFonts w:ascii="Arial" w:hAnsi="Arial" w:cs="Arial"/>
          <w:i/>
          <w:sz w:val="20"/>
          <w:szCs w:val="20"/>
          <w:highlight w:val="lightGray"/>
        </w:rPr>
        <w:t>Sofern die Feststellungen an anderer Stelle im Bericht dargestellt w</w:t>
      </w:r>
      <w:r w:rsidR="00721507">
        <w:rPr>
          <w:rFonts w:ascii="Arial" w:hAnsi="Arial" w:cs="Arial"/>
          <w:i/>
          <w:sz w:val="20"/>
          <w:szCs w:val="20"/>
          <w:highlight w:val="lightGray"/>
        </w:rPr>
        <w:t>erden,</w:t>
      </w:r>
      <w:r w:rsidR="00AB7758">
        <w:rPr>
          <w:rFonts w:ascii="Arial" w:hAnsi="Arial" w:cs="Arial"/>
          <w:i/>
          <w:sz w:val="20"/>
          <w:szCs w:val="20"/>
          <w:highlight w:val="lightGray"/>
        </w:rPr>
        <w:t xml:space="preserve"> ist eine entsprechende Referenz ausreichend</w:t>
      </w:r>
      <w:r w:rsidR="00232727">
        <w:rPr>
          <w:rFonts w:ascii="Arial" w:hAnsi="Arial" w:cs="Arial"/>
          <w:i/>
          <w:sz w:val="20"/>
          <w:szCs w:val="20"/>
          <w:highlight w:val="lightGray"/>
        </w:rPr>
        <w:t>.</w:t>
      </w:r>
      <w:r w:rsidR="00494350">
        <w:rPr>
          <w:rFonts w:ascii="Arial" w:hAnsi="Arial" w:cs="Arial"/>
          <w:i/>
          <w:sz w:val="20"/>
          <w:szCs w:val="20"/>
          <w:highlight w:val="lightGray"/>
        </w:rPr>
        <w:t xml:space="preserve"> </w:t>
      </w:r>
    </w:p>
    <w:p w14:paraId="136C96AC" w14:textId="77777777" w:rsidR="004B7B6C" w:rsidRDefault="004B7B6C" w:rsidP="00CB3EE6">
      <w:pPr>
        <w:jc w:val="both"/>
      </w:pPr>
    </w:p>
    <w:p w14:paraId="47DD01A0" w14:textId="77777777" w:rsidR="0041731C" w:rsidRDefault="002E3094" w:rsidP="006F7AB5">
      <w:pPr>
        <w:pStyle w:val="FINMAGliederungEbene2"/>
      </w:pPr>
      <w:bookmarkStart w:id="10" w:name="_Toc216425759"/>
      <w:r>
        <w:t>Zusammenfassung zu weiteren Prüferkenntnissen sowie Gesamteinschätzung</w:t>
      </w:r>
      <w:bookmarkEnd w:id="10"/>
    </w:p>
    <w:p w14:paraId="0494395C" w14:textId="77777777" w:rsidR="002E3094" w:rsidRDefault="002E3094" w:rsidP="00CB3EE6">
      <w:pPr>
        <w:jc w:val="both"/>
      </w:pPr>
    </w:p>
    <w:p w14:paraId="456936EB" w14:textId="69CF7913" w:rsidR="002E3094" w:rsidRPr="00515AB5"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515AB5">
        <w:rPr>
          <w:rFonts w:ascii="Arial" w:hAnsi="Arial" w:cs="Arial"/>
          <w:i/>
          <w:sz w:val="20"/>
          <w:szCs w:val="20"/>
          <w:highlight w:val="lightGray"/>
        </w:rPr>
        <w:t xml:space="preserve"> nimmt basierend auf den Erkenntnissen aus ihren Prüfungshandlungen Stellung zur Gewähr für eine einwandfreie Geschäftsführung durch die Organe</w:t>
      </w:r>
      <w:r w:rsidR="00365BF1">
        <w:rPr>
          <w:rFonts w:ascii="Arial" w:hAnsi="Arial" w:cs="Arial"/>
          <w:i/>
          <w:sz w:val="20"/>
          <w:szCs w:val="20"/>
          <w:highlight w:val="lightGray"/>
        </w:rPr>
        <w:t xml:space="preserve"> (bei Bank</w:t>
      </w:r>
      <w:r w:rsidR="007A404C" w:rsidDel="007A404C">
        <w:rPr>
          <w:rFonts w:ascii="Arial" w:hAnsi="Arial" w:cs="Arial"/>
          <w:i/>
          <w:sz w:val="20"/>
          <w:szCs w:val="20"/>
          <w:highlight w:val="lightGray"/>
        </w:rPr>
        <w:t xml:space="preserve"> </w:t>
      </w:r>
      <w:r w:rsidR="00365BF1">
        <w:rPr>
          <w:rFonts w:ascii="Arial" w:hAnsi="Arial" w:cs="Arial"/>
          <w:i/>
          <w:sz w:val="20"/>
          <w:szCs w:val="20"/>
          <w:highlight w:val="lightGray"/>
        </w:rPr>
        <w:t>/bewilligte (gemischte) Finanzholdinggesellschaft)</w:t>
      </w:r>
      <w:r w:rsidRPr="00515AB5">
        <w:rPr>
          <w:rFonts w:ascii="Arial" w:hAnsi="Arial" w:cs="Arial"/>
          <w:i/>
          <w:sz w:val="20"/>
          <w:szCs w:val="20"/>
          <w:highlight w:val="lightGray"/>
        </w:rPr>
        <w:t xml:space="preserve"> und qualifiziert Beteiligten</w:t>
      </w:r>
      <w:r w:rsidR="00365BF1">
        <w:rPr>
          <w:rFonts w:ascii="Arial" w:hAnsi="Arial" w:cs="Arial"/>
          <w:i/>
          <w:sz w:val="20"/>
          <w:szCs w:val="20"/>
          <w:highlight w:val="lightGray"/>
        </w:rPr>
        <w:t xml:space="preserve"> (bei Bank)</w:t>
      </w:r>
      <w:r w:rsidRPr="00515AB5">
        <w:rPr>
          <w:rFonts w:ascii="Arial" w:hAnsi="Arial" w:cs="Arial"/>
          <w:i/>
          <w:sz w:val="20"/>
          <w:szCs w:val="20"/>
          <w:highlight w:val="lightGray"/>
        </w:rPr>
        <w:t xml:space="preserve">. </w:t>
      </w:r>
    </w:p>
    <w:p w14:paraId="706CAD8F" w14:textId="77777777" w:rsidR="002E3094" w:rsidRPr="00515AB5" w:rsidRDefault="002E3094" w:rsidP="002E3094">
      <w:pPr>
        <w:jc w:val="both"/>
        <w:rPr>
          <w:rFonts w:ascii="Arial" w:hAnsi="Arial" w:cs="Arial"/>
          <w:i/>
          <w:sz w:val="20"/>
          <w:szCs w:val="20"/>
          <w:highlight w:val="lightGray"/>
        </w:rPr>
      </w:pPr>
    </w:p>
    <w:p w14:paraId="144B3F23" w14:textId="1F9E7B7B" w:rsidR="002E3094" w:rsidRDefault="002E3094" w:rsidP="002E3094">
      <w:pPr>
        <w:jc w:val="both"/>
        <w:rPr>
          <w:rFonts w:ascii="Arial" w:hAnsi="Arial" w:cs="Arial"/>
          <w:i/>
          <w:sz w:val="20"/>
          <w:szCs w:val="20"/>
          <w:highlight w:val="lightGray"/>
        </w:rPr>
      </w:pPr>
      <w:r w:rsidRPr="00515AB5">
        <w:rPr>
          <w:rFonts w:ascii="Arial" w:hAnsi="Arial" w:cs="Arial"/>
          <w:i/>
          <w:sz w:val="20"/>
          <w:szCs w:val="20"/>
          <w:highlight w:val="lightGray"/>
        </w:rPr>
        <w:lastRenderedPageBreak/>
        <w:t xml:space="preserve">Des Weiteren hält die </w:t>
      </w:r>
      <w:r w:rsidR="009F1ACA">
        <w:rPr>
          <w:rFonts w:ascii="Arial" w:hAnsi="Arial" w:cs="Arial"/>
          <w:i/>
          <w:sz w:val="20"/>
          <w:szCs w:val="20"/>
          <w:highlight w:val="lightGray"/>
        </w:rPr>
        <w:t>Revisionsstelle</w:t>
      </w:r>
      <w:r w:rsidRPr="00515AB5">
        <w:rPr>
          <w:rFonts w:ascii="Arial" w:hAnsi="Arial" w:cs="Arial"/>
          <w:i/>
          <w:sz w:val="20"/>
          <w:szCs w:val="20"/>
          <w:highlight w:val="lightGray"/>
        </w:rPr>
        <w:t xml:space="preserve"> – basierend auf den Ergebnissen der durchgeführten Prüfungshandlungen – ein Prüfurteil fest, ob die internen Verfahren sicherstellen, dass die </w:t>
      </w:r>
      <w:r w:rsidR="003A7208">
        <w:rPr>
          <w:rFonts w:ascii="Arial" w:hAnsi="Arial" w:cs="Arial"/>
          <w:i/>
          <w:sz w:val="20"/>
          <w:szCs w:val="20"/>
          <w:highlight w:val="lightGray"/>
        </w:rPr>
        <w:t>Bestimmungen des BankG, der Verordnung (EU) Nr. 575/2013, anderer unmittelbar auf Banken anwendbarer EWR-Rechtsvorschriften oder anderer in Art. 5 Abs. 1 des Finanzmarktaufsichtsgesetzes angeführter Gesetze eingehalten werden (Art. 128 Abs. 1 BankG)</w:t>
      </w:r>
      <w:r w:rsidRPr="00515AB5">
        <w:rPr>
          <w:rFonts w:ascii="Arial" w:hAnsi="Arial" w:cs="Arial"/>
          <w:i/>
          <w:sz w:val="20"/>
          <w:szCs w:val="20"/>
          <w:highlight w:val="lightGray"/>
        </w:rPr>
        <w:t xml:space="preserve">. </w:t>
      </w:r>
      <w:r w:rsidR="00F40152">
        <w:rPr>
          <w:rFonts w:ascii="Arial" w:hAnsi="Arial" w:cs="Arial"/>
          <w:i/>
          <w:sz w:val="20"/>
          <w:szCs w:val="20"/>
          <w:highlight w:val="lightGray"/>
        </w:rPr>
        <w:t>Insbesondere</w:t>
      </w:r>
      <w:r>
        <w:rPr>
          <w:rFonts w:ascii="Arial" w:hAnsi="Arial" w:cs="Arial"/>
          <w:i/>
          <w:sz w:val="20"/>
          <w:szCs w:val="20"/>
          <w:highlight w:val="lightGray"/>
        </w:rPr>
        <w:t xml:space="preserve"> erläutert 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allfällige Vorkommnisse, welche </w:t>
      </w:r>
      <w:r w:rsidR="003A7208">
        <w:rPr>
          <w:rFonts w:ascii="Arial" w:hAnsi="Arial" w:cs="Arial"/>
          <w:i/>
          <w:sz w:val="20"/>
          <w:szCs w:val="20"/>
          <w:highlight w:val="lightGray"/>
        </w:rPr>
        <w:t xml:space="preserve">z.B. </w:t>
      </w:r>
      <w:r>
        <w:rPr>
          <w:rFonts w:ascii="Arial" w:hAnsi="Arial" w:cs="Arial"/>
          <w:i/>
          <w:sz w:val="20"/>
          <w:szCs w:val="20"/>
          <w:highlight w:val="lightGray"/>
        </w:rPr>
        <w:t xml:space="preserve">die Einhaltung der Bewilligungsvoraussetzungen tangieren können. 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schlägt, falls notwendig, Massnahmen zur Wiederherstellung des ordnungsgemässen Zustands vor. 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beurteilt, inwiefern die Beanstandungen mit Fristansetzung im Berichtsjahr </w:t>
      </w:r>
      <w:r w:rsidR="003A7208">
        <w:rPr>
          <w:rFonts w:ascii="Arial" w:hAnsi="Arial" w:cs="Arial"/>
          <w:i/>
          <w:sz w:val="20"/>
          <w:szCs w:val="20"/>
          <w:highlight w:val="lightGray"/>
        </w:rPr>
        <w:t xml:space="preserve">z.B. </w:t>
      </w:r>
      <w:r>
        <w:rPr>
          <w:rFonts w:ascii="Arial" w:hAnsi="Arial" w:cs="Arial"/>
          <w:i/>
          <w:sz w:val="20"/>
          <w:szCs w:val="20"/>
          <w:highlight w:val="lightGray"/>
        </w:rPr>
        <w:t xml:space="preserve">die Einhaltung der Bewilligungsvoraussetzungen in Frage stellen und hält fest, ob gemäss ihrer Einschätzung Massnahmen seitens der FMA notwendig sind oder nicht. </w:t>
      </w:r>
    </w:p>
    <w:p w14:paraId="25C1E2AE" w14:textId="77777777" w:rsidR="002E3094" w:rsidRDefault="002E3094" w:rsidP="002E3094">
      <w:pPr>
        <w:jc w:val="both"/>
        <w:rPr>
          <w:rFonts w:ascii="Arial" w:hAnsi="Arial" w:cs="Arial"/>
          <w:i/>
          <w:sz w:val="20"/>
          <w:szCs w:val="20"/>
          <w:highlight w:val="lightGray"/>
        </w:rPr>
      </w:pPr>
    </w:p>
    <w:p w14:paraId="237B91AB" w14:textId="77777777" w:rsidR="002E3094" w:rsidRDefault="002E3094" w:rsidP="00CB3EE6">
      <w:pPr>
        <w:jc w:val="both"/>
        <w:rPr>
          <w:rFonts w:cs="Arial"/>
          <w:i/>
          <w:szCs w:val="20"/>
          <w:highlight w:val="lightGray"/>
        </w:rPr>
      </w:pPr>
    </w:p>
    <w:p w14:paraId="7011811E" w14:textId="77777777" w:rsidR="002E3094" w:rsidRDefault="002E3094" w:rsidP="00CB3EE6">
      <w:pPr>
        <w:jc w:val="both"/>
        <w:rPr>
          <w:rFonts w:cs="Arial"/>
          <w:i/>
          <w:szCs w:val="20"/>
          <w:highlight w:val="lightGray"/>
        </w:rPr>
      </w:pPr>
    </w:p>
    <w:p w14:paraId="6A935A86" w14:textId="57BDFA33" w:rsidR="0041731C" w:rsidRPr="00CB3EE6" w:rsidRDefault="002E3094" w:rsidP="00CB3EE6">
      <w:pPr>
        <w:jc w:val="both"/>
        <w:rPr>
          <w:rFonts w:cs="Arial"/>
          <w:i/>
          <w:szCs w:val="20"/>
          <w:highlight w:val="lightGray"/>
        </w:rPr>
      </w:pPr>
      <w:r w:rsidRPr="00CB3EE6">
        <w:rPr>
          <w:rFonts w:ascii="Arial" w:hAnsi="Arial" w:cs="Arial"/>
          <w:i/>
          <w:sz w:val="20"/>
          <w:szCs w:val="20"/>
          <w:highlight w:val="lightGray"/>
        </w:rPr>
        <w:t xml:space="preserve">Des Weiteren würdigt die </w:t>
      </w:r>
      <w:r w:rsidR="009F1ACA">
        <w:rPr>
          <w:rFonts w:ascii="Arial" w:hAnsi="Arial" w:cs="Arial"/>
          <w:i/>
          <w:sz w:val="20"/>
          <w:szCs w:val="20"/>
          <w:highlight w:val="lightGray"/>
        </w:rPr>
        <w:t>Revisionsstelle</w:t>
      </w:r>
      <w:r w:rsidRPr="00CB3EE6">
        <w:rPr>
          <w:rFonts w:ascii="Arial" w:hAnsi="Arial" w:cs="Arial"/>
          <w:i/>
          <w:sz w:val="20"/>
          <w:szCs w:val="20"/>
          <w:highlight w:val="lightGray"/>
        </w:rPr>
        <w:t xml:space="preserve"> unter diesem Titel summarisch die Gesamtsituation de</w:t>
      </w:r>
      <w:r w:rsidR="0050402B">
        <w:rPr>
          <w:rFonts w:ascii="Arial" w:hAnsi="Arial" w:cs="Arial"/>
          <w:i/>
          <w:sz w:val="20"/>
          <w:szCs w:val="20"/>
          <w:highlight w:val="lightGray"/>
        </w:rPr>
        <w:t>r</w:t>
      </w:r>
      <w:r w:rsidR="00F40152">
        <w:rPr>
          <w:rFonts w:ascii="Arial" w:hAnsi="Arial" w:cs="Arial"/>
          <w:i/>
          <w:sz w:val="20"/>
          <w:szCs w:val="20"/>
          <w:highlight w:val="lightGray"/>
        </w:rPr>
        <w:t xml:space="preserve"> geprüften/</w:t>
      </w:r>
      <w:r w:rsidR="0050402B">
        <w:rPr>
          <w:rFonts w:ascii="Arial" w:hAnsi="Arial" w:cs="Arial"/>
          <w:i/>
          <w:sz w:val="20"/>
          <w:szCs w:val="20"/>
          <w:highlight w:val="lightGray"/>
        </w:rPr>
        <w:t xml:space="preserve"> </w:t>
      </w:r>
      <w:r w:rsidR="00F40152">
        <w:rPr>
          <w:rFonts w:ascii="Arial" w:hAnsi="Arial" w:cs="Arial"/>
          <w:i/>
          <w:sz w:val="20"/>
          <w:szCs w:val="20"/>
          <w:highlight w:val="lightGray"/>
        </w:rPr>
        <w:t xml:space="preserve">zu </w:t>
      </w:r>
      <w:r w:rsidR="00F83287" w:rsidRPr="00C44852">
        <w:rPr>
          <w:rFonts w:ascii="Arial" w:hAnsi="Arial" w:cs="Arial"/>
          <w:i/>
          <w:sz w:val="20"/>
          <w:szCs w:val="20"/>
          <w:highlight w:val="lightGray"/>
        </w:rPr>
        <w:t>prüfende</w:t>
      </w:r>
      <w:r w:rsidR="00F40152">
        <w:rPr>
          <w:rFonts w:ascii="Arial" w:hAnsi="Arial" w:cs="Arial"/>
          <w:i/>
          <w:sz w:val="20"/>
          <w:szCs w:val="20"/>
          <w:highlight w:val="lightGray"/>
        </w:rPr>
        <w:t>n</w:t>
      </w:r>
      <w:r w:rsidR="00F83287" w:rsidRPr="00C44852">
        <w:rPr>
          <w:rFonts w:ascii="Arial" w:hAnsi="Arial" w:cs="Arial"/>
          <w:i/>
          <w:sz w:val="20"/>
          <w:szCs w:val="20"/>
          <w:highlight w:val="lightGray"/>
        </w:rPr>
        <w:t xml:space="preserve"> Bank</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365BF1">
        <w:rPr>
          <w:rFonts w:ascii="Arial" w:hAnsi="Arial" w:cs="Arial"/>
          <w:i/>
          <w:sz w:val="20"/>
          <w:szCs w:val="20"/>
          <w:highlight w:val="lightGray"/>
        </w:rPr>
        <w:t>sowie</w:t>
      </w:r>
      <w:r w:rsidR="00F83287">
        <w:rPr>
          <w:rFonts w:ascii="Arial" w:hAnsi="Arial" w:cs="Arial"/>
          <w:i/>
          <w:sz w:val="20"/>
          <w:szCs w:val="20"/>
          <w:highlight w:val="lightGray"/>
        </w:rPr>
        <w:t xml:space="preserve"> der Gruppe</w:t>
      </w:r>
      <w:r w:rsidR="000846E4">
        <w:rPr>
          <w:rFonts w:ascii="Arial" w:hAnsi="Arial" w:cs="Arial"/>
          <w:i/>
          <w:sz w:val="20"/>
          <w:szCs w:val="20"/>
          <w:highlight w:val="lightGray"/>
        </w:rPr>
        <w:t xml:space="preserve"> </w:t>
      </w:r>
      <w:r w:rsidRPr="00CB3EE6">
        <w:rPr>
          <w:rFonts w:ascii="Arial" w:hAnsi="Arial" w:cs="Arial"/>
          <w:i/>
          <w:sz w:val="20"/>
          <w:szCs w:val="20"/>
          <w:highlight w:val="lightGray"/>
        </w:rPr>
        <w:t>sowie aktuelle Entwicklungen und weist</w:t>
      </w:r>
      <w:r w:rsidR="00F40152">
        <w:rPr>
          <w:rFonts w:ascii="Arial" w:hAnsi="Arial" w:cs="Arial"/>
          <w:i/>
          <w:sz w:val="20"/>
          <w:szCs w:val="20"/>
          <w:highlight w:val="lightGray"/>
        </w:rPr>
        <w:t xml:space="preserve"> auf gegenwärtige und</w:t>
      </w:r>
      <w:r w:rsidRPr="00CB3EE6">
        <w:rPr>
          <w:rFonts w:ascii="Arial" w:hAnsi="Arial" w:cs="Arial"/>
          <w:i/>
          <w:sz w:val="20"/>
          <w:szCs w:val="20"/>
          <w:highlight w:val="lightGray"/>
        </w:rPr>
        <w:t xml:space="preserve"> zukunftsgerichtet</w:t>
      </w:r>
      <w:r w:rsidR="00F40152">
        <w:rPr>
          <w:rFonts w:ascii="Arial" w:hAnsi="Arial" w:cs="Arial"/>
          <w:i/>
          <w:sz w:val="20"/>
          <w:szCs w:val="20"/>
          <w:highlight w:val="lightGray"/>
        </w:rPr>
        <w:t>e,</w:t>
      </w:r>
      <w:r w:rsidRPr="00CB3EE6">
        <w:rPr>
          <w:rFonts w:ascii="Arial" w:hAnsi="Arial" w:cs="Arial"/>
          <w:i/>
          <w:sz w:val="20"/>
          <w:szCs w:val="20"/>
          <w:highlight w:val="lightGray"/>
        </w:rPr>
        <w:t xml:space="preserve"> mögliche (u.a. regulatorische) Herausforderungen hin. </w:t>
      </w:r>
    </w:p>
    <w:p w14:paraId="3204C5FC" w14:textId="77777777" w:rsidR="00A30784" w:rsidRDefault="00A30784" w:rsidP="00CB3EE6">
      <w:pPr>
        <w:pStyle w:val="Listenabsatz"/>
        <w:ind w:left="360"/>
        <w:jc w:val="both"/>
      </w:pPr>
    </w:p>
    <w:p w14:paraId="7C2C1F52" w14:textId="77777777" w:rsidR="001469E9" w:rsidRDefault="00CD5C34" w:rsidP="006F7AB5">
      <w:pPr>
        <w:pStyle w:val="FINMAGliederungEbene1"/>
      </w:pPr>
      <w:bookmarkStart w:id="11" w:name="_Toc216425760"/>
      <w:r>
        <w:t xml:space="preserve">Wesentliche Feststellungen </w:t>
      </w:r>
      <w:r w:rsidR="001469E9">
        <w:t>ausserhalb der Aufsichtsprüfung</w:t>
      </w:r>
      <w:bookmarkEnd w:id="11"/>
    </w:p>
    <w:p w14:paraId="43BA97A2" w14:textId="77777777" w:rsidR="001469E9" w:rsidRDefault="001469E9" w:rsidP="001469E9">
      <w:pPr>
        <w:jc w:val="both"/>
      </w:pPr>
    </w:p>
    <w:p w14:paraId="56BDF699" w14:textId="7CF0A0C6" w:rsidR="00B41C8D" w:rsidRPr="00B41C8D" w:rsidRDefault="00B41C8D" w:rsidP="00B41C8D">
      <w:pPr>
        <w:jc w:val="both"/>
        <w:rPr>
          <w:rFonts w:ascii="Arial" w:hAnsi="Arial" w:cs="Arial"/>
          <w:i/>
          <w:sz w:val="20"/>
          <w:szCs w:val="20"/>
          <w:highlight w:val="lightGray"/>
        </w:rPr>
      </w:pPr>
      <w:r w:rsidRPr="00B41C8D">
        <w:rPr>
          <w:rFonts w:ascii="Arial" w:hAnsi="Arial" w:cs="Arial"/>
          <w:i/>
          <w:sz w:val="20"/>
          <w:szCs w:val="20"/>
          <w:highlight w:val="lightGray"/>
        </w:rPr>
        <w:t xml:space="preserve">Stellt die </w:t>
      </w:r>
      <w:r w:rsidR="009F1ACA">
        <w:rPr>
          <w:rFonts w:ascii="Arial" w:hAnsi="Arial" w:cs="Arial"/>
          <w:i/>
          <w:sz w:val="20"/>
          <w:szCs w:val="20"/>
          <w:highlight w:val="lightGray"/>
        </w:rPr>
        <w:t>Revisionsstelle</w:t>
      </w:r>
      <w:r w:rsidRPr="00B41C8D">
        <w:rPr>
          <w:rFonts w:ascii="Arial" w:hAnsi="Arial" w:cs="Arial"/>
          <w:i/>
          <w:sz w:val="20"/>
          <w:szCs w:val="20"/>
          <w:highlight w:val="lightGray"/>
        </w:rPr>
        <w:t xml:space="preserve"> ausserhalb der Aufsichtsprüfung Auffälligkeiten fest, welche wesentliche Auswirkungen auf die Risikolage de</w:t>
      </w:r>
      <w:r w:rsidR="00365BF1">
        <w:rPr>
          <w:rFonts w:ascii="Arial" w:hAnsi="Arial" w:cs="Arial"/>
          <w:i/>
          <w:sz w:val="20"/>
          <w:szCs w:val="20"/>
          <w:highlight w:val="lightGray"/>
        </w:rPr>
        <w:t>r Bank, bewilligte (gemischte) Finanzholdinggesellschaft bzw. der Gruppe</w:t>
      </w:r>
      <w:r w:rsidRPr="00B41C8D">
        <w:rPr>
          <w:rFonts w:ascii="Arial" w:hAnsi="Arial" w:cs="Arial"/>
          <w:i/>
          <w:sz w:val="20"/>
          <w:szCs w:val="20"/>
          <w:highlight w:val="lightGray"/>
        </w:rPr>
        <w:t xml:space="preserve"> haben und die damit gemäss </w:t>
      </w:r>
      <w:r w:rsidRPr="00A938AE">
        <w:rPr>
          <w:rFonts w:ascii="Arial" w:hAnsi="Arial" w:cs="Arial"/>
          <w:i/>
          <w:sz w:val="20"/>
          <w:szCs w:val="20"/>
          <w:highlight w:val="lightGray"/>
        </w:rPr>
        <w:t xml:space="preserve">Art. </w:t>
      </w:r>
      <w:r w:rsidR="00953E7E" w:rsidRPr="00A938AE">
        <w:rPr>
          <w:rFonts w:ascii="Arial" w:hAnsi="Arial" w:cs="Arial"/>
          <w:i/>
          <w:sz w:val="20"/>
          <w:szCs w:val="20"/>
          <w:highlight w:val="lightGray"/>
        </w:rPr>
        <w:t>128 Abs. 10</w:t>
      </w:r>
      <w:r w:rsidRPr="00A938AE">
        <w:rPr>
          <w:rFonts w:ascii="Arial" w:hAnsi="Arial" w:cs="Arial"/>
          <w:i/>
          <w:sz w:val="20"/>
          <w:szCs w:val="20"/>
          <w:highlight w:val="lightGray"/>
        </w:rPr>
        <w:t xml:space="preserve"> Bank</w:t>
      </w:r>
      <w:r w:rsidR="00606908" w:rsidRPr="00A938AE">
        <w:rPr>
          <w:rFonts w:ascii="Arial" w:hAnsi="Arial" w:cs="Arial"/>
          <w:i/>
          <w:sz w:val="20"/>
          <w:szCs w:val="20"/>
          <w:highlight w:val="lightGray"/>
        </w:rPr>
        <w:t>G</w:t>
      </w:r>
      <w:r w:rsidRPr="00A938AE">
        <w:rPr>
          <w:rFonts w:ascii="Arial" w:hAnsi="Arial" w:cs="Arial"/>
          <w:i/>
          <w:sz w:val="20"/>
          <w:szCs w:val="20"/>
          <w:highlight w:val="lightGray"/>
        </w:rPr>
        <w:t xml:space="preserve"> </w:t>
      </w:r>
      <w:r w:rsidRPr="00B41C8D">
        <w:rPr>
          <w:rFonts w:ascii="Arial" w:hAnsi="Arial" w:cs="Arial"/>
          <w:i/>
          <w:sz w:val="20"/>
          <w:szCs w:val="20"/>
          <w:highlight w:val="lightGray"/>
        </w:rPr>
        <w:t>in der Risikoanalyse zu berücksichtigen sind, so sind diese im Rahmen der Berichterstattung aufzuführen (z.B. Empfehlungen im Rahmen des Management Letters bei der Abschlussprüfung; steuerrechtliche Verfahren etc.)</w:t>
      </w:r>
    </w:p>
    <w:p w14:paraId="0FF862A7" w14:textId="77777777" w:rsidR="00897AEF" w:rsidRDefault="00897AEF" w:rsidP="00A5682B">
      <w:pPr>
        <w:jc w:val="both"/>
        <w:rPr>
          <w:rFonts w:ascii="Arial" w:hAnsi="Arial" w:cs="Arial"/>
          <w:sz w:val="20"/>
          <w:szCs w:val="20"/>
        </w:rPr>
      </w:pPr>
    </w:p>
    <w:p w14:paraId="46ED533F" w14:textId="3654C145" w:rsidR="00897AEF" w:rsidRDefault="00827C26" w:rsidP="006F7AB5">
      <w:pPr>
        <w:pStyle w:val="FINMAGliederungEbene1"/>
      </w:pPr>
      <w:bookmarkStart w:id="12" w:name="_Toc216425761"/>
      <w:r>
        <w:t xml:space="preserve">Wichtige Informationen zu der geprüften </w:t>
      </w:r>
      <w:r w:rsidR="00F83287" w:rsidRPr="00EA5362">
        <w:rPr>
          <w:i/>
          <w:szCs w:val="20"/>
        </w:rPr>
        <w:t>Bank</w:t>
      </w:r>
      <w:r w:rsidR="00365BF1">
        <w:rPr>
          <w:i/>
          <w:szCs w:val="20"/>
        </w:rPr>
        <w:t>, bewilligten (gemischten) Finanzholdinggesellschaft</w:t>
      </w:r>
      <w:r w:rsidR="00F83287" w:rsidRPr="00EA5362">
        <w:rPr>
          <w:i/>
          <w:szCs w:val="20"/>
        </w:rPr>
        <w:t xml:space="preserve"> </w:t>
      </w:r>
      <w:r w:rsidR="00365BF1" w:rsidRPr="00365BF1">
        <w:rPr>
          <w:i/>
        </w:rPr>
        <w:t>und</w:t>
      </w:r>
      <w:r w:rsidR="00F83287" w:rsidRPr="00365BF1">
        <w:rPr>
          <w:i/>
        </w:rPr>
        <w:t xml:space="preserve"> Gruppe</w:t>
      </w:r>
      <w:r>
        <w:t>/ Darstellung bedeutender Änderungen</w:t>
      </w:r>
      <w:bookmarkEnd w:id="12"/>
    </w:p>
    <w:p w14:paraId="199F62AB" w14:textId="77777777" w:rsidR="00827C26" w:rsidRDefault="00827C26" w:rsidP="00CB3EE6">
      <w:pPr>
        <w:pStyle w:val="Listenabsatz"/>
        <w:ind w:left="360"/>
        <w:jc w:val="both"/>
      </w:pPr>
    </w:p>
    <w:p w14:paraId="1298F83D" w14:textId="77777777" w:rsidR="00827C26" w:rsidRDefault="00827C26" w:rsidP="006F7AB5">
      <w:pPr>
        <w:pStyle w:val="FINMAGliederungEbene2"/>
      </w:pPr>
      <w:bookmarkStart w:id="13" w:name="_Toc216425762"/>
      <w:r>
        <w:t>Geschäftstätigkeit und Kundenstruktur</w:t>
      </w:r>
      <w:bookmarkEnd w:id="13"/>
    </w:p>
    <w:p w14:paraId="117805E5" w14:textId="77777777" w:rsidR="00827C26" w:rsidRDefault="00827C26" w:rsidP="00CB3EE6">
      <w:pPr>
        <w:jc w:val="both"/>
      </w:pPr>
    </w:p>
    <w:p w14:paraId="4486CB7A" w14:textId="664AA721" w:rsidR="00827C26" w:rsidRPr="00CB3EE6" w:rsidRDefault="00827C26" w:rsidP="00CB3EE6">
      <w:pPr>
        <w:jc w:val="both"/>
        <w:rPr>
          <w:rFonts w:cs="Arial"/>
          <w:i/>
          <w:szCs w:val="20"/>
          <w:highlight w:val="lightGray"/>
        </w:rPr>
      </w:pPr>
      <w:r w:rsidRPr="00CB3EE6">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CB3EE6">
        <w:rPr>
          <w:rFonts w:ascii="Arial" w:hAnsi="Arial" w:cs="Arial"/>
          <w:i/>
          <w:sz w:val="20"/>
          <w:szCs w:val="20"/>
          <w:highlight w:val="lightGray"/>
        </w:rPr>
        <w:t xml:space="preserve"> erläutert kurz das Geschäftsfeld bzw. die Geschäftsfelder der </w:t>
      </w:r>
      <w:r w:rsidR="00F83287" w:rsidRPr="00C44852">
        <w:rPr>
          <w:rFonts w:ascii="Arial" w:hAnsi="Arial" w:cs="Arial"/>
          <w:i/>
          <w:sz w:val="20"/>
          <w:szCs w:val="20"/>
          <w:highlight w:val="lightGray"/>
        </w:rPr>
        <w:t>Bank</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EA5362">
        <w:rPr>
          <w:rFonts w:ascii="Arial" w:hAnsi="Arial" w:cs="Arial"/>
          <w:i/>
          <w:sz w:val="20"/>
          <w:szCs w:val="20"/>
          <w:highlight w:val="lightGray"/>
        </w:rPr>
        <w:t xml:space="preserve">bzw. Gruppe, </w:t>
      </w:r>
      <w:r w:rsidRPr="00CB3EE6">
        <w:rPr>
          <w:rFonts w:ascii="Arial" w:hAnsi="Arial" w:cs="Arial"/>
          <w:i/>
          <w:sz w:val="20"/>
          <w:szCs w:val="20"/>
          <w:highlight w:val="lightGray"/>
        </w:rPr>
        <w:t xml:space="preserve">die angesprochenen Kundensegmente und Märkte sowie diesbezügliche Veränderungen während dem Berichtsjahr. </w:t>
      </w:r>
    </w:p>
    <w:p w14:paraId="0238E463" w14:textId="77777777" w:rsidR="00827C26" w:rsidRDefault="00827C26" w:rsidP="00CB3EE6">
      <w:pPr>
        <w:jc w:val="both"/>
      </w:pPr>
    </w:p>
    <w:p w14:paraId="5B9E4E01" w14:textId="77777777" w:rsidR="00827C26" w:rsidRDefault="00827C26" w:rsidP="00CB3EE6">
      <w:pPr>
        <w:pStyle w:val="Listenabsatz"/>
        <w:ind w:left="792"/>
        <w:jc w:val="both"/>
      </w:pPr>
    </w:p>
    <w:p w14:paraId="6323645D" w14:textId="77777777" w:rsidR="00827C26" w:rsidRDefault="00827C26" w:rsidP="006F7AB5">
      <w:pPr>
        <w:pStyle w:val="FINMAGliederungEbene2"/>
      </w:pPr>
      <w:bookmarkStart w:id="14" w:name="_Toc216425763"/>
      <w:r>
        <w:t>Gruppenstruktur und Beteiligungsverhältnisse / Beziehungen zu anderen Unternehmen</w:t>
      </w:r>
      <w:bookmarkEnd w:id="14"/>
    </w:p>
    <w:p w14:paraId="5FCE391F" w14:textId="77777777" w:rsidR="00827C26" w:rsidRDefault="00827C26" w:rsidP="00CB3EE6">
      <w:pPr>
        <w:jc w:val="both"/>
      </w:pPr>
    </w:p>
    <w:p w14:paraId="05724557" w14:textId="18C1760C" w:rsidR="00827C26" w:rsidRPr="00571DD0" w:rsidRDefault="00827C26" w:rsidP="00827C26">
      <w:pPr>
        <w:jc w:val="both"/>
        <w:rPr>
          <w:rFonts w:ascii="Arial" w:hAnsi="Arial" w:cs="Arial"/>
          <w:i/>
          <w:sz w:val="20"/>
          <w:szCs w:val="20"/>
          <w:highlight w:val="lightGray"/>
        </w:rPr>
      </w:pPr>
      <w:r w:rsidRPr="00571DD0">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571DD0">
        <w:rPr>
          <w:rFonts w:ascii="Arial" w:hAnsi="Arial" w:cs="Arial"/>
          <w:i/>
          <w:sz w:val="20"/>
          <w:szCs w:val="20"/>
          <w:highlight w:val="lightGray"/>
        </w:rPr>
        <w:t xml:space="preserve"> </w:t>
      </w:r>
      <w:r>
        <w:rPr>
          <w:rFonts w:ascii="Arial" w:hAnsi="Arial" w:cs="Arial"/>
          <w:i/>
          <w:sz w:val="20"/>
          <w:szCs w:val="20"/>
          <w:highlight w:val="lightGray"/>
        </w:rPr>
        <w:t xml:space="preserve">erläutert kurz die Struktur der Gruppe, die qualifiziert Beteiligten sowie wesentliche Beziehungen und Abhängigkeiten zu anderen Unternehmen oder Anspruchsträgern (z.B. wirtschaftlich bedeutende Verträge, konzerninterne Zusammenarbeit). Diesbezügliche Veränderungen werden adressiert. </w:t>
      </w:r>
    </w:p>
    <w:p w14:paraId="0BDABD60" w14:textId="77777777" w:rsidR="00827C26" w:rsidRDefault="00827C26" w:rsidP="00CB3EE6">
      <w:pPr>
        <w:jc w:val="both"/>
      </w:pPr>
    </w:p>
    <w:p w14:paraId="619FCA24" w14:textId="77777777" w:rsidR="00827C26" w:rsidRPr="000C756C" w:rsidRDefault="00827C26" w:rsidP="006F7AB5">
      <w:pPr>
        <w:pStyle w:val="FINMAGliederungEbene2"/>
      </w:pPr>
      <w:bookmarkStart w:id="15" w:name="_Toc216425764"/>
      <w:r w:rsidRPr="000C756C">
        <w:t>Betriebs- und Aufbauorganisation</w:t>
      </w:r>
      <w:bookmarkEnd w:id="15"/>
    </w:p>
    <w:p w14:paraId="4A1A9EBE" w14:textId="77777777" w:rsidR="00827C26" w:rsidRDefault="00827C26" w:rsidP="00CB3EE6">
      <w:pPr>
        <w:jc w:val="both"/>
      </w:pPr>
    </w:p>
    <w:p w14:paraId="4C97F224" w14:textId="6659D4E0" w:rsidR="00F8275A" w:rsidRDefault="00827C26" w:rsidP="00CB3EE6">
      <w:pPr>
        <w:jc w:val="both"/>
        <w:rPr>
          <w:rFonts w:ascii="Arial" w:hAnsi="Arial" w:cs="Arial"/>
          <w:i/>
          <w:sz w:val="20"/>
          <w:szCs w:val="20"/>
        </w:rPr>
      </w:pPr>
      <w:r w:rsidRPr="00127590">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127590">
        <w:rPr>
          <w:rFonts w:ascii="Arial" w:hAnsi="Arial" w:cs="Arial"/>
          <w:i/>
          <w:sz w:val="20"/>
          <w:szCs w:val="20"/>
          <w:highlight w:val="lightGray"/>
        </w:rPr>
        <w:t xml:space="preserve"> erläutert kurz die generelle Organisation und allfällige entsprechende Veränd</w:t>
      </w:r>
      <w:r w:rsidRPr="00CB3EE6">
        <w:rPr>
          <w:rFonts w:ascii="Arial" w:hAnsi="Arial" w:cs="Arial"/>
          <w:i/>
          <w:sz w:val="20"/>
          <w:szCs w:val="20"/>
          <w:highlight w:val="lightGray"/>
        </w:rPr>
        <w:t>erungen</w:t>
      </w:r>
      <w:r w:rsidR="005E18C5">
        <w:rPr>
          <w:rFonts w:ascii="Arial" w:hAnsi="Arial" w:cs="Arial"/>
          <w:i/>
          <w:sz w:val="20"/>
          <w:szCs w:val="20"/>
          <w:highlight w:val="lightGray"/>
        </w:rPr>
        <w:t xml:space="preserve">. Dabei kann sich die </w:t>
      </w:r>
      <w:r w:rsidR="009F1ACA">
        <w:rPr>
          <w:rFonts w:ascii="Arial" w:hAnsi="Arial" w:cs="Arial"/>
          <w:i/>
          <w:sz w:val="20"/>
          <w:szCs w:val="20"/>
          <w:highlight w:val="lightGray"/>
        </w:rPr>
        <w:t>Revisionsstelle</w:t>
      </w:r>
      <w:r w:rsidR="005E18C5">
        <w:rPr>
          <w:rFonts w:ascii="Arial" w:hAnsi="Arial" w:cs="Arial"/>
          <w:i/>
          <w:sz w:val="20"/>
          <w:szCs w:val="20"/>
          <w:highlight w:val="lightGray"/>
        </w:rPr>
        <w:t xml:space="preserve"> auf das Organigramm abstützen.</w:t>
      </w:r>
      <w:r>
        <w:rPr>
          <w:rFonts w:ascii="Arial" w:hAnsi="Arial" w:cs="Arial"/>
          <w:i/>
          <w:sz w:val="20"/>
          <w:szCs w:val="20"/>
        </w:rPr>
        <w:t xml:space="preserve"> </w:t>
      </w:r>
    </w:p>
    <w:p w14:paraId="29A60D03" w14:textId="77777777" w:rsidR="003B3C1E" w:rsidRDefault="003B3C1E" w:rsidP="00CB3EE6">
      <w:pPr>
        <w:jc w:val="both"/>
        <w:rPr>
          <w:rFonts w:ascii="Arial" w:hAnsi="Arial" w:cs="Arial"/>
          <w:i/>
          <w:sz w:val="20"/>
          <w:szCs w:val="20"/>
        </w:rPr>
      </w:pPr>
    </w:p>
    <w:p w14:paraId="5A2CC10C" w14:textId="3BC1E2B8" w:rsidR="003B3C1E" w:rsidRPr="0023252E" w:rsidRDefault="003B3C1E" w:rsidP="003B3C1E">
      <w:pPr>
        <w:jc w:val="both"/>
        <w:rPr>
          <w:rFonts w:ascii="Arial" w:hAnsi="Arial" w:cs="Arial"/>
          <w:i/>
          <w:sz w:val="20"/>
          <w:szCs w:val="20"/>
          <w:highlight w:val="lightGray"/>
        </w:rPr>
      </w:pPr>
      <w:r w:rsidRPr="0023252E">
        <w:rPr>
          <w:rFonts w:ascii="Arial" w:hAnsi="Arial" w:cs="Arial"/>
          <w:i/>
          <w:sz w:val="20"/>
          <w:szCs w:val="20"/>
          <w:highlight w:val="lightGray"/>
        </w:rPr>
        <w:t xml:space="preserve">Die unabhängigen Mitglieder </w:t>
      </w:r>
      <w:r w:rsidRPr="001E12FA">
        <w:rPr>
          <w:rFonts w:ascii="Arial" w:hAnsi="Arial" w:cs="Arial"/>
          <w:i/>
          <w:sz w:val="20"/>
          <w:szCs w:val="20"/>
          <w:highlight w:val="lightGray"/>
        </w:rPr>
        <w:t>des Verwaltungsrats</w:t>
      </w:r>
      <w:r w:rsidRPr="0023252E">
        <w:rPr>
          <w:rFonts w:ascii="Arial" w:hAnsi="Arial" w:cs="Arial"/>
          <w:i/>
          <w:sz w:val="20"/>
          <w:szCs w:val="20"/>
          <w:highlight w:val="lightGray"/>
        </w:rPr>
        <w:t xml:space="preserve"> sind</w:t>
      </w:r>
      <w:r>
        <w:rPr>
          <w:rFonts w:ascii="Arial" w:hAnsi="Arial" w:cs="Arial"/>
          <w:i/>
          <w:sz w:val="20"/>
          <w:szCs w:val="20"/>
          <w:highlight w:val="lightGray"/>
        </w:rPr>
        <w:t xml:space="preserve"> – unabhängig ob die Prüffelder «Verwaltungsrat (GOV-2)» oder «Interessenskonflikte (GOV-3)» im Berichtsjahr in Scope sind -</w:t>
      </w:r>
      <w:r w:rsidRPr="0023252E">
        <w:rPr>
          <w:rFonts w:ascii="Arial" w:hAnsi="Arial" w:cs="Arial"/>
          <w:i/>
          <w:sz w:val="20"/>
          <w:szCs w:val="20"/>
          <w:highlight w:val="lightGray"/>
        </w:rPr>
        <w:t xml:space="preserve"> jeweils aufzulisten und zu kennzeichnen</w:t>
      </w:r>
      <w:r>
        <w:rPr>
          <w:rFonts w:ascii="Arial" w:hAnsi="Arial" w:cs="Arial"/>
          <w:i/>
          <w:sz w:val="20"/>
          <w:szCs w:val="20"/>
          <w:highlight w:val="lightGray"/>
        </w:rPr>
        <w:t>.</w:t>
      </w:r>
    </w:p>
    <w:p w14:paraId="4A8F7E68" w14:textId="77777777" w:rsidR="003B3C1E" w:rsidRPr="0023252E" w:rsidRDefault="003B3C1E" w:rsidP="00CB3EE6">
      <w:pPr>
        <w:jc w:val="both"/>
        <w:rPr>
          <w:rFonts w:ascii="Arial" w:hAnsi="Arial" w:cs="Arial"/>
          <w:i/>
          <w:sz w:val="20"/>
          <w:szCs w:val="20"/>
        </w:rPr>
      </w:pPr>
    </w:p>
    <w:p w14:paraId="55E5658E" w14:textId="77777777" w:rsidR="00827C26" w:rsidRDefault="00827C26" w:rsidP="00CB3EE6">
      <w:pPr>
        <w:jc w:val="both"/>
      </w:pPr>
    </w:p>
    <w:p w14:paraId="5C75E24F" w14:textId="1C542D30" w:rsidR="00827C26" w:rsidRPr="00F83287" w:rsidRDefault="00827C26" w:rsidP="006F7AB5">
      <w:pPr>
        <w:pStyle w:val="FINMAGliederungEbene2"/>
      </w:pPr>
      <w:bookmarkStart w:id="16" w:name="_Toc216425765"/>
      <w:r w:rsidRPr="00F83287">
        <w:t xml:space="preserve">Wesentliche Änderungen bei der beaufsichtigten </w:t>
      </w:r>
      <w:r w:rsidR="00F83287" w:rsidRPr="00BF6946">
        <w:rPr>
          <w:i/>
          <w:szCs w:val="20"/>
        </w:rPr>
        <w:t>Bank</w:t>
      </w:r>
      <w:r w:rsidR="00365BF1">
        <w:rPr>
          <w:i/>
          <w:szCs w:val="20"/>
        </w:rPr>
        <w:t>, bewilligten (gemischten) Finanzholdinggesellschaft</w:t>
      </w:r>
      <w:r w:rsidR="00F83287" w:rsidRPr="00BF6946">
        <w:rPr>
          <w:i/>
          <w:szCs w:val="20"/>
        </w:rPr>
        <w:t xml:space="preserve"> </w:t>
      </w:r>
      <w:r w:rsidR="00365BF1">
        <w:rPr>
          <w:i/>
          <w:szCs w:val="20"/>
        </w:rPr>
        <w:t>und</w:t>
      </w:r>
      <w:r w:rsidR="00F83287" w:rsidRPr="00BF6946">
        <w:rPr>
          <w:i/>
          <w:szCs w:val="20"/>
        </w:rPr>
        <w:t xml:space="preserve"> Gruppe</w:t>
      </w:r>
      <w:bookmarkEnd w:id="16"/>
    </w:p>
    <w:p w14:paraId="3177D5DB" w14:textId="77777777" w:rsidR="00827C26" w:rsidRDefault="00827C26" w:rsidP="00CB3EE6">
      <w:pPr>
        <w:jc w:val="both"/>
      </w:pPr>
    </w:p>
    <w:p w14:paraId="5D53EE46" w14:textId="50B48656" w:rsidR="00A5682B" w:rsidRPr="000D36E0" w:rsidRDefault="00897AEF" w:rsidP="00A5682B">
      <w:pPr>
        <w:jc w:val="both"/>
        <w:rPr>
          <w:rFonts w:ascii="Arial" w:hAnsi="Arial" w:cs="Arial"/>
          <w:i/>
          <w:sz w:val="20"/>
          <w:szCs w:val="20"/>
          <w:highlight w:val="lightGray"/>
        </w:rPr>
      </w:pPr>
      <w:r w:rsidRPr="000D36E0">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0D36E0">
        <w:rPr>
          <w:rFonts w:ascii="Arial" w:hAnsi="Arial" w:cs="Arial"/>
          <w:i/>
          <w:sz w:val="20"/>
          <w:szCs w:val="20"/>
          <w:highlight w:val="lightGray"/>
        </w:rPr>
        <w:t xml:space="preserve"> erläutert, sofern noch nicht in den weiteren Kapiteln des Berichts aufgeführt wurden,</w:t>
      </w:r>
      <w:r w:rsidR="000D36E0" w:rsidRPr="000D36E0">
        <w:rPr>
          <w:rFonts w:ascii="Arial" w:hAnsi="Arial" w:cs="Arial"/>
          <w:i/>
          <w:sz w:val="20"/>
          <w:szCs w:val="20"/>
          <w:highlight w:val="lightGray"/>
        </w:rPr>
        <w:t xml:space="preserve"> allfällige wesentliche Veränderungen während dem Berichtsjahr oder solche, die </w:t>
      </w:r>
      <w:r w:rsidR="00127590">
        <w:rPr>
          <w:rFonts w:ascii="Arial" w:hAnsi="Arial" w:cs="Arial"/>
          <w:i/>
          <w:sz w:val="20"/>
          <w:szCs w:val="20"/>
          <w:highlight w:val="lightGray"/>
        </w:rPr>
        <w:t>bei der b</w:t>
      </w:r>
      <w:r w:rsidR="004F737B">
        <w:rPr>
          <w:rFonts w:ascii="Arial" w:hAnsi="Arial" w:cs="Arial"/>
          <w:i/>
          <w:sz w:val="20"/>
          <w:szCs w:val="20"/>
          <w:highlight w:val="lightGray"/>
        </w:rPr>
        <w:t xml:space="preserve">eaufsichtigten </w:t>
      </w:r>
      <w:r w:rsidR="00F83287" w:rsidRPr="00C44852">
        <w:rPr>
          <w:rFonts w:ascii="Arial" w:hAnsi="Arial" w:cs="Arial"/>
          <w:i/>
          <w:sz w:val="20"/>
          <w:szCs w:val="20"/>
          <w:highlight w:val="lightGray"/>
        </w:rPr>
        <w:t>Bank</w:t>
      </w:r>
      <w:r w:rsidR="00365BF1">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0D36E0" w:rsidRPr="000D36E0">
        <w:rPr>
          <w:rFonts w:ascii="Arial" w:hAnsi="Arial" w:cs="Arial"/>
          <w:i/>
          <w:sz w:val="20"/>
          <w:szCs w:val="20"/>
          <w:highlight w:val="lightGray"/>
        </w:rPr>
        <w:t xml:space="preserve"> noch bevorstehen;</w:t>
      </w:r>
      <w:r w:rsidRPr="000D36E0">
        <w:rPr>
          <w:rFonts w:ascii="Arial" w:hAnsi="Arial" w:cs="Arial"/>
          <w:i/>
          <w:sz w:val="20"/>
          <w:szCs w:val="20"/>
          <w:highlight w:val="lightGray"/>
        </w:rPr>
        <w:t xml:space="preserve"> insbesondere hinsichtlich:</w:t>
      </w:r>
    </w:p>
    <w:p w14:paraId="77E8EAB6" w14:textId="77777777" w:rsidR="00897AEF" w:rsidRPr="000D36E0" w:rsidRDefault="00127590" w:rsidP="00897AEF">
      <w:pPr>
        <w:pStyle w:val="Listenabsatz"/>
        <w:numPr>
          <w:ilvl w:val="0"/>
          <w:numId w:val="13"/>
        </w:numPr>
        <w:jc w:val="both"/>
        <w:rPr>
          <w:rFonts w:cs="Arial"/>
          <w:i/>
          <w:szCs w:val="20"/>
          <w:highlight w:val="lightGray"/>
        </w:rPr>
      </w:pPr>
      <w:r>
        <w:rPr>
          <w:rFonts w:cs="Arial"/>
          <w:i/>
          <w:szCs w:val="20"/>
          <w:highlight w:val="lightGray"/>
        </w:rPr>
        <w:t>Wechsel bei den qualifiziert Beteiligten</w:t>
      </w:r>
    </w:p>
    <w:p w14:paraId="3D814EEA" w14:textId="77777777" w:rsidR="00897AEF" w:rsidRPr="000D36E0"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Organe</w:t>
      </w:r>
    </w:p>
    <w:p w14:paraId="24BD3828" w14:textId="77777777" w:rsidR="00897AEF" w:rsidRDefault="00897AEF" w:rsidP="00897AEF">
      <w:pPr>
        <w:pStyle w:val="Listenabsatz"/>
        <w:numPr>
          <w:ilvl w:val="0"/>
          <w:numId w:val="13"/>
        </w:numPr>
        <w:jc w:val="both"/>
        <w:rPr>
          <w:rFonts w:cs="Arial"/>
          <w:i/>
          <w:szCs w:val="20"/>
          <w:highlight w:val="lightGray"/>
        </w:rPr>
      </w:pPr>
      <w:r w:rsidRPr="000D36E0">
        <w:rPr>
          <w:rFonts w:cs="Arial"/>
          <w:i/>
          <w:szCs w:val="20"/>
          <w:highlight w:val="lightGray"/>
        </w:rPr>
        <w:t>Beziehungen zu anderen Unternehmen</w:t>
      </w:r>
    </w:p>
    <w:p w14:paraId="2488BAB3" w14:textId="49B4242A" w:rsidR="00D809D1" w:rsidRPr="00836F15" w:rsidRDefault="00D809D1" w:rsidP="00836F15">
      <w:pPr>
        <w:pStyle w:val="Listenabsatz"/>
        <w:numPr>
          <w:ilvl w:val="0"/>
          <w:numId w:val="13"/>
        </w:numPr>
        <w:jc w:val="both"/>
        <w:rPr>
          <w:rFonts w:cs="Arial"/>
          <w:i/>
          <w:szCs w:val="20"/>
          <w:highlight w:val="lightGray"/>
        </w:rPr>
      </w:pPr>
      <w:r>
        <w:rPr>
          <w:rFonts w:cs="Arial"/>
          <w:i/>
          <w:szCs w:val="20"/>
          <w:highlight w:val="lightGray"/>
        </w:rPr>
        <w:t>Vakanzen in Schlüssel</w:t>
      </w:r>
      <w:r w:rsidR="00E95156">
        <w:rPr>
          <w:rFonts w:cs="Arial"/>
          <w:i/>
          <w:szCs w:val="20"/>
          <w:highlight w:val="lightGray"/>
        </w:rPr>
        <w:t>funktionen</w:t>
      </w:r>
      <w:r w:rsidR="00A024A2">
        <w:rPr>
          <w:rFonts w:cs="Arial"/>
          <w:i/>
          <w:szCs w:val="20"/>
          <w:highlight w:val="lightGray"/>
        </w:rPr>
        <w:t xml:space="preserve"> </w:t>
      </w:r>
      <w:r w:rsidR="00EF3DFC" w:rsidRPr="00B037A6">
        <w:rPr>
          <w:rFonts w:cs="Arial"/>
          <w:i/>
          <w:sz w:val="16"/>
          <w:szCs w:val="16"/>
          <w:highlight w:val="lightGray"/>
        </w:rPr>
        <w:t>(</w:t>
      </w:r>
      <w:r w:rsidR="00836F15" w:rsidRPr="00B037A6">
        <w:rPr>
          <w:rFonts w:cs="Arial"/>
          <w:i/>
          <w:sz w:val="16"/>
          <w:szCs w:val="16"/>
          <w:highlight w:val="lightGray"/>
        </w:rPr>
        <w:t>gemäss EBA/GL/20</w:t>
      </w:r>
      <w:r w:rsidR="00606908">
        <w:rPr>
          <w:rFonts w:cs="Arial"/>
          <w:i/>
          <w:sz w:val="16"/>
          <w:szCs w:val="16"/>
          <w:highlight w:val="lightGray"/>
        </w:rPr>
        <w:t>21/05</w:t>
      </w:r>
      <w:r w:rsidR="00836F15" w:rsidRPr="00B037A6">
        <w:rPr>
          <w:rFonts w:cs="Arial"/>
          <w:i/>
          <w:sz w:val="16"/>
          <w:szCs w:val="16"/>
          <w:highlight w:val="lightGray"/>
        </w:rPr>
        <w:t xml:space="preserve"> </w:t>
      </w:r>
      <w:r w:rsidR="00836F15">
        <w:rPr>
          <w:rFonts w:cs="Arial"/>
          <w:i/>
          <w:sz w:val="16"/>
          <w:szCs w:val="16"/>
          <w:highlight w:val="lightGray"/>
        </w:rPr>
        <w:t>Personen, die</w:t>
      </w:r>
      <w:r w:rsidR="00606908">
        <w:rPr>
          <w:rFonts w:cs="Arial"/>
          <w:i/>
          <w:sz w:val="16"/>
          <w:szCs w:val="16"/>
          <w:highlight w:val="lightGray"/>
        </w:rPr>
        <w:t xml:space="preserve"> erheblichen Einfluss auf die Ausrichtung des Instituts haben, aber keine Mitglieder des Leitungsorgans und kein CEO sind. Zu ihnen zählen die Leiter der internen Kontrollfunktionen und der Finanzvorstand, sofern diese nicht Mitglieder des Leitungsorgans sind, sowie weitere Inhaber von Schlüsselfunktionen, die auf Grundlage eines risikobasierten Ansatzes von den Instituten als solche ermittelt werden. Weitere Inhaber von Schlüsselfunktionen können die Leiter von Geschäftsbereichen, Zweigniederlassungen im EWR/EFTA, Tochtergesellschaften in Drittstaaten oder anderer interner Funktionen sein.</w:t>
      </w:r>
      <w:r w:rsidR="00836F15" w:rsidRPr="00B037A6">
        <w:rPr>
          <w:rFonts w:cs="Arial"/>
          <w:i/>
          <w:sz w:val="16"/>
          <w:szCs w:val="16"/>
          <w:highlight w:val="lightGray"/>
        </w:rPr>
        <w:t>)</w:t>
      </w:r>
      <w:r w:rsidR="00836F15" w:rsidRPr="00B037A6">
        <w:rPr>
          <w:rFonts w:cs="Arial"/>
          <w:i/>
          <w:szCs w:val="20"/>
          <w:highlight w:val="lightGray"/>
        </w:rPr>
        <w:t xml:space="preserve"> </w:t>
      </w:r>
    </w:p>
    <w:p w14:paraId="0A202582" w14:textId="77777777" w:rsidR="00897AEF" w:rsidRPr="00127590" w:rsidRDefault="00127590" w:rsidP="00127590">
      <w:pPr>
        <w:pStyle w:val="Listenabsatz"/>
        <w:numPr>
          <w:ilvl w:val="0"/>
          <w:numId w:val="13"/>
        </w:numPr>
        <w:jc w:val="both"/>
        <w:rPr>
          <w:rFonts w:cs="Arial"/>
          <w:i/>
          <w:szCs w:val="20"/>
          <w:highlight w:val="lightGray"/>
        </w:rPr>
      </w:pPr>
      <w:r w:rsidRPr="000D36E0">
        <w:rPr>
          <w:rFonts w:cs="Arial"/>
          <w:i/>
          <w:szCs w:val="20"/>
          <w:highlight w:val="lightGray"/>
        </w:rPr>
        <w:t>Geschäftsmodell</w:t>
      </w:r>
      <w:r>
        <w:rPr>
          <w:rFonts w:cs="Arial"/>
          <w:i/>
          <w:szCs w:val="20"/>
          <w:highlight w:val="lightGray"/>
        </w:rPr>
        <w:t xml:space="preserve"> und Geschäftsstrategie</w:t>
      </w:r>
    </w:p>
    <w:p w14:paraId="0E4BB0F0" w14:textId="77777777" w:rsidR="000D36E0" w:rsidRDefault="00897AEF" w:rsidP="000D36E0">
      <w:pPr>
        <w:pStyle w:val="Listenabsatz"/>
        <w:numPr>
          <w:ilvl w:val="0"/>
          <w:numId w:val="13"/>
        </w:numPr>
        <w:jc w:val="both"/>
        <w:rPr>
          <w:rFonts w:cs="Arial"/>
          <w:i/>
          <w:szCs w:val="20"/>
          <w:highlight w:val="lightGray"/>
        </w:rPr>
      </w:pPr>
      <w:r w:rsidRPr="000D36E0">
        <w:rPr>
          <w:rFonts w:cs="Arial"/>
          <w:i/>
          <w:szCs w:val="20"/>
          <w:highlight w:val="lightGray"/>
        </w:rPr>
        <w:t>Fusionen, Reorganisationen, Restrukturierungen</w:t>
      </w:r>
      <w:r w:rsidR="000D36E0" w:rsidRPr="000D36E0">
        <w:rPr>
          <w:rFonts w:cs="Arial"/>
          <w:i/>
          <w:szCs w:val="20"/>
          <w:highlight w:val="lightGray"/>
        </w:rPr>
        <w:t>, Delegationen</w:t>
      </w:r>
    </w:p>
    <w:p w14:paraId="08CFB052" w14:textId="77777777" w:rsidR="00E11B81" w:rsidRDefault="00E11B81" w:rsidP="00515AB5">
      <w:pPr>
        <w:jc w:val="both"/>
        <w:rPr>
          <w:rFonts w:ascii="Arial" w:hAnsi="Arial" w:cs="Arial"/>
          <w:i/>
          <w:sz w:val="20"/>
          <w:szCs w:val="20"/>
          <w:highlight w:val="lightGray"/>
        </w:rPr>
      </w:pPr>
    </w:p>
    <w:p w14:paraId="22ABF80E" w14:textId="77777777" w:rsidR="002309A6" w:rsidRDefault="002309A6" w:rsidP="00515AB5">
      <w:pPr>
        <w:jc w:val="both"/>
        <w:rPr>
          <w:rFonts w:ascii="Arial" w:hAnsi="Arial" w:cs="Arial"/>
          <w:i/>
          <w:sz w:val="20"/>
          <w:szCs w:val="20"/>
          <w:highlight w:val="lightGray"/>
        </w:rPr>
      </w:pPr>
    </w:p>
    <w:p w14:paraId="3A5808C1" w14:textId="77777777" w:rsidR="007A36D2" w:rsidRDefault="007A36D2" w:rsidP="006F7AB5">
      <w:pPr>
        <w:pStyle w:val="FINMAGliederungEbene1"/>
      </w:pPr>
      <w:bookmarkStart w:id="17" w:name="_Toc216425766"/>
      <w:r>
        <w:t>Prüfresultate</w:t>
      </w:r>
      <w:bookmarkEnd w:id="17"/>
    </w:p>
    <w:p w14:paraId="5E549B85" w14:textId="77777777" w:rsidR="007A36D2" w:rsidRDefault="007A36D2" w:rsidP="007A36D2">
      <w:pPr>
        <w:jc w:val="both"/>
      </w:pPr>
    </w:p>
    <w:p w14:paraId="6EDF1B20" w14:textId="2A958D18"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sidRPr="00047F52">
        <w:rPr>
          <w:rFonts w:ascii="Arial" w:hAnsi="Arial" w:cs="Arial"/>
          <w:i/>
          <w:sz w:val="20"/>
          <w:szCs w:val="20"/>
          <w:highlight w:val="lightGray"/>
        </w:rPr>
        <w:t xml:space="preserve"> </w:t>
      </w:r>
      <w:r w:rsidR="00515064">
        <w:rPr>
          <w:rFonts w:ascii="Arial" w:hAnsi="Arial" w:cs="Arial"/>
          <w:i/>
          <w:sz w:val="20"/>
          <w:szCs w:val="20"/>
          <w:highlight w:val="lightGray"/>
        </w:rPr>
        <w:t xml:space="preserve">bewertet die Prüfelemente </w:t>
      </w:r>
      <w:r w:rsidRPr="00047F52">
        <w:rPr>
          <w:rFonts w:ascii="Arial" w:hAnsi="Arial" w:cs="Arial"/>
          <w:i/>
          <w:sz w:val="20"/>
          <w:szCs w:val="20"/>
          <w:highlight w:val="lightGray"/>
        </w:rPr>
        <w:t>in Prüfgebieten mit Intervention durch „Ja (</w:t>
      </w:r>
      <w:r w:rsidR="00F546BE">
        <w:rPr>
          <w:rFonts w:ascii="Arial" w:hAnsi="Arial" w:cs="Arial"/>
          <w:i/>
          <w:sz w:val="20"/>
          <w:szCs w:val="20"/>
          <w:highlight w:val="lightGray"/>
        </w:rPr>
        <w:t>Detailprüfung</w:t>
      </w:r>
      <w:r w:rsidRPr="00047F52">
        <w:rPr>
          <w:rFonts w:ascii="Arial" w:hAnsi="Arial" w:cs="Arial"/>
          <w:i/>
          <w:sz w:val="20"/>
          <w:szCs w:val="20"/>
          <w:highlight w:val="lightGray"/>
        </w:rPr>
        <w:t>)“, „Ja (kritische Beurteilung)“ oder „Nein“</w:t>
      </w:r>
      <w:r w:rsidR="00666210">
        <w:rPr>
          <w:rFonts w:ascii="Arial" w:hAnsi="Arial" w:cs="Arial"/>
          <w:i/>
          <w:sz w:val="20"/>
          <w:szCs w:val="20"/>
          <w:highlight w:val="lightGray"/>
        </w:rPr>
        <w:t xml:space="preserve">. </w:t>
      </w:r>
      <w:r w:rsidRPr="00047F52">
        <w:rPr>
          <w:rFonts w:ascii="Arial" w:hAnsi="Arial" w:cs="Arial"/>
          <w:i/>
          <w:sz w:val="20"/>
          <w:szCs w:val="20"/>
          <w:highlight w:val="lightGray"/>
        </w:rPr>
        <w:t>Die</w:t>
      </w:r>
      <w:r w:rsidR="00515064">
        <w:rPr>
          <w:rFonts w:ascii="Arial" w:hAnsi="Arial" w:cs="Arial"/>
          <w:i/>
          <w:sz w:val="20"/>
          <w:szCs w:val="20"/>
          <w:highlight w:val="lightGray"/>
        </w:rPr>
        <w:t xml:space="preserve">se Prüfresultate gelten als </w:t>
      </w:r>
      <w:r w:rsidRPr="00047F52">
        <w:rPr>
          <w:rFonts w:ascii="Arial" w:hAnsi="Arial" w:cs="Arial"/>
          <w:i/>
          <w:sz w:val="20"/>
          <w:szCs w:val="20"/>
          <w:highlight w:val="lightGray"/>
        </w:rPr>
        <w:t xml:space="preserve">Prüfbestätigungen für beide </w:t>
      </w:r>
      <w:r w:rsidR="00515064">
        <w:rPr>
          <w:rFonts w:ascii="Arial" w:hAnsi="Arial" w:cs="Arial"/>
          <w:i/>
          <w:sz w:val="20"/>
          <w:szCs w:val="20"/>
          <w:highlight w:val="lightGray"/>
        </w:rPr>
        <w:t xml:space="preserve">Arten von </w:t>
      </w:r>
      <w:r w:rsidRPr="00047F52">
        <w:rPr>
          <w:rFonts w:ascii="Arial" w:hAnsi="Arial" w:cs="Arial"/>
          <w:i/>
          <w:sz w:val="20"/>
          <w:szCs w:val="20"/>
          <w:highlight w:val="lightGray"/>
        </w:rPr>
        <w:t xml:space="preserve">Prüftiefen (Detailprüfung oder kritische Beurteilung). </w:t>
      </w:r>
      <w:r w:rsidR="00515064">
        <w:rPr>
          <w:rFonts w:ascii="Arial" w:hAnsi="Arial" w:cs="Arial"/>
          <w:i/>
          <w:sz w:val="20"/>
          <w:szCs w:val="20"/>
          <w:highlight w:val="lightGray"/>
        </w:rPr>
        <w:t>Im Falle einer</w:t>
      </w:r>
      <w:r w:rsidRPr="00047F52">
        <w:rPr>
          <w:rFonts w:ascii="Arial" w:hAnsi="Arial" w:cs="Arial"/>
          <w:i/>
          <w:sz w:val="20"/>
          <w:szCs w:val="20"/>
          <w:highlight w:val="lightGray"/>
        </w:rPr>
        <w:t xml:space="preserve"> „kritische</w:t>
      </w:r>
      <w:r w:rsidR="00515064">
        <w:rPr>
          <w:rFonts w:ascii="Arial" w:hAnsi="Arial" w:cs="Arial"/>
          <w:i/>
          <w:sz w:val="20"/>
          <w:szCs w:val="20"/>
          <w:highlight w:val="lightGray"/>
        </w:rPr>
        <w:t>n</w:t>
      </w:r>
      <w:r w:rsidRPr="00047F52">
        <w:rPr>
          <w:rFonts w:ascii="Arial" w:hAnsi="Arial" w:cs="Arial"/>
          <w:i/>
          <w:sz w:val="20"/>
          <w:szCs w:val="20"/>
          <w:highlight w:val="lightGray"/>
        </w:rPr>
        <w:t xml:space="preserve"> Beurteilung“ sind die Bestätigungen unabhängig vom Wortlaut</w:t>
      </w:r>
      <w:r w:rsidR="00B4499A">
        <w:rPr>
          <w:rFonts w:ascii="Arial" w:hAnsi="Arial" w:cs="Arial"/>
          <w:i/>
          <w:sz w:val="20"/>
          <w:szCs w:val="20"/>
          <w:highlight w:val="lightGray"/>
        </w:rPr>
        <w:t xml:space="preserve"> des Prüfelements</w:t>
      </w:r>
      <w:r w:rsidRPr="00047F52">
        <w:rPr>
          <w:rFonts w:ascii="Arial" w:hAnsi="Arial" w:cs="Arial"/>
          <w:i/>
          <w:sz w:val="20"/>
          <w:szCs w:val="20"/>
          <w:highlight w:val="lightGray"/>
        </w:rPr>
        <w:t xml:space="preserve">, als </w:t>
      </w:r>
      <w:r w:rsidR="004805B6" w:rsidRPr="00CB3EE6">
        <w:rPr>
          <w:rFonts w:ascii="Arial" w:hAnsi="Arial" w:cs="Arial"/>
          <w:i/>
          <w:sz w:val="20"/>
          <w:szCs w:val="20"/>
          <w:highlight w:val="lightGray"/>
        </w:rPr>
        <w:t xml:space="preserve">„negative assurance“ </w:t>
      </w:r>
      <w:r w:rsidRPr="00047F52">
        <w:rPr>
          <w:rFonts w:ascii="Arial" w:hAnsi="Arial" w:cs="Arial"/>
          <w:i/>
          <w:sz w:val="20"/>
          <w:szCs w:val="20"/>
          <w:highlight w:val="lightGray"/>
        </w:rPr>
        <w:t>zu verstehen.</w:t>
      </w:r>
    </w:p>
    <w:p w14:paraId="0020845A" w14:textId="77777777" w:rsidR="00047F52" w:rsidRPr="00047F52" w:rsidRDefault="00047F52" w:rsidP="00047F52">
      <w:pPr>
        <w:jc w:val="both"/>
        <w:rPr>
          <w:rFonts w:ascii="Arial" w:hAnsi="Arial" w:cs="Arial"/>
          <w:i/>
          <w:sz w:val="20"/>
          <w:szCs w:val="20"/>
          <w:highlight w:val="lightGray"/>
        </w:rPr>
      </w:pPr>
    </w:p>
    <w:p w14:paraId="7A822F8F" w14:textId="6CF3D9F7" w:rsidR="009F06E5" w:rsidRDefault="00C32A65"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bewertet die Prüfelemente in Einklang mit den Vorgaben der </w:t>
      </w:r>
      <w:r w:rsidR="00B55575">
        <w:rPr>
          <w:rFonts w:ascii="Arial" w:hAnsi="Arial" w:cs="Arial"/>
          <w:i/>
          <w:sz w:val="20"/>
          <w:szCs w:val="20"/>
          <w:highlight w:val="lightGray"/>
        </w:rPr>
        <w:t>Revisionsprüfungsrichtlinie.</w:t>
      </w:r>
      <w:r w:rsidR="009F06E5">
        <w:rPr>
          <w:rFonts w:ascii="Arial" w:hAnsi="Arial" w:cs="Arial"/>
          <w:i/>
          <w:sz w:val="20"/>
          <w:szCs w:val="20"/>
          <w:highlight w:val="lightGray"/>
        </w:rPr>
        <w:t xml:space="preserve"> Führt die </w:t>
      </w:r>
      <w:r w:rsidR="008321CB">
        <w:rPr>
          <w:rFonts w:ascii="Arial" w:hAnsi="Arial" w:cs="Arial"/>
          <w:i/>
          <w:sz w:val="20"/>
          <w:szCs w:val="20"/>
          <w:highlight w:val="lightGray"/>
        </w:rPr>
        <w:t>Intervention</w:t>
      </w:r>
      <w:r w:rsidR="009F06E5">
        <w:rPr>
          <w:rFonts w:ascii="Arial" w:hAnsi="Arial" w:cs="Arial"/>
          <w:i/>
          <w:sz w:val="20"/>
          <w:szCs w:val="20"/>
          <w:highlight w:val="lightGray"/>
        </w:rPr>
        <w:t xml:space="preserve"> zu einer Beanstandung (siehe Revisionsprüfungsrichtlinie </w:t>
      </w:r>
      <w:r w:rsidR="001719F0">
        <w:rPr>
          <w:rFonts w:ascii="Arial" w:hAnsi="Arial" w:cs="Arial"/>
          <w:i/>
          <w:sz w:val="20"/>
          <w:szCs w:val="20"/>
          <w:highlight w:val="lightGray"/>
        </w:rPr>
        <w:t xml:space="preserve">allgemeiner Teil I </w:t>
      </w:r>
      <w:r w:rsidR="009F06E5">
        <w:rPr>
          <w:rFonts w:ascii="Arial" w:hAnsi="Arial" w:cs="Arial"/>
          <w:i/>
          <w:sz w:val="20"/>
          <w:szCs w:val="20"/>
          <w:highlight w:val="lightGray"/>
        </w:rPr>
        <w:t>Ziff. 10.2), so ist das Prüfresultat mit „Nein“ anzugeben</w:t>
      </w:r>
      <w:r w:rsidR="00706801">
        <w:rPr>
          <w:rFonts w:ascii="Arial" w:hAnsi="Arial" w:cs="Arial"/>
          <w:i/>
          <w:sz w:val="20"/>
          <w:szCs w:val="20"/>
          <w:highlight w:val="lightGray"/>
        </w:rPr>
        <w:t xml:space="preserve"> und eine </w:t>
      </w:r>
      <w:r w:rsidR="00F77736">
        <w:rPr>
          <w:rFonts w:ascii="Arial" w:hAnsi="Arial" w:cs="Arial"/>
          <w:i/>
          <w:sz w:val="20"/>
          <w:szCs w:val="20"/>
          <w:highlight w:val="lightGray"/>
        </w:rPr>
        <w:t xml:space="preserve">angemessene </w:t>
      </w:r>
      <w:r w:rsidR="00706801" w:rsidRPr="00047F52">
        <w:rPr>
          <w:rFonts w:ascii="Arial" w:hAnsi="Arial" w:cs="Arial"/>
          <w:i/>
          <w:sz w:val="20"/>
          <w:szCs w:val="20"/>
          <w:highlight w:val="lightGray"/>
        </w:rPr>
        <w:t xml:space="preserve">Erläuterung </w:t>
      </w:r>
      <w:r w:rsidR="00706801">
        <w:rPr>
          <w:rFonts w:ascii="Arial" w:hAnsi="Arial" w:cs="Arial"/>
          <w:i/>
          <w:sz w:val="20"/>
          <w:szCs w:val="20"/>
          <w:highlight w:val="lightGray"/>
        </w:rPr>
        <w:t xml:space="preserve">inklusive Risikoeinschätzung </w:t>
      </w:r>
      <w:r w:rsidR="00706801" w:rsidRPr="00047F52">
        <w:rPr>
          <w:rFonts w:ascii="Arial" w:hAnsi="Arial" w:cs="Arial"/>
          <w:i/>
          <w:sz w:val="20"/>
          <w:szCs w:val="20"/>
          <w:highlight w:val="lightGray"/>
        </w:rPr>
        <w:t>vor</w:t>
      </w:r>
      <w:r w:rsidR="00706801">
        <w:rPr>
          <w:rFonts w:ascii="Arial" w:hAnsi="Arial" w:cs="Arial"/>
          <w:i/>
          <w:sz w:val="20"/>
          <w:szCs w:val="20"/>
          <w:highlight w:val="lightGray"/>
        </w:rPr>
        <w:t xml:space="preserve">zunehmen. Führt die </w:t>
      </w:r>
      <w:r w:rsidR="008321CB">
        <w:rPr>
          <w:rFonts w:ascii="Arial" w:hAnsi="Arial" w:cs="Arial"/>
          <w:i/>
          <w:sz w:val="20"/>
          <w:szCs w:val="20"/>
          <w:highlight w:val="lightGray"/>
        </w:rPr>
        <w:t>Intervention</w:t>
      </w:r>
      <w:r w:rsidR="00706801">
        <w:rPr>
          <w:rFonts w:ascii="Arial" w:hAnsi="Arial" w:cs="Arial"/>
          <w:i/>
          <w:sz w:val="20"/>
          <w:szCs w:val="20"/>
          <w:highlight w:val="lightGray"/>
        </w:rPr>
        <w:t xml:space="preserve"> zu keiner Beanstandung, so ist </w:t>
      </w:r>
      <w:r w:rsidR="009F06E5">
        <w:rPr>
          <w:rFonts w:ascii="Arial" w:hAnsi="Arial" w:cs="Arial"/>
          <w:i/>
          <w:sz w:val="20"/>
          <w:szCs w:val="20"/>
          <w:highlight w:val="lightGray"/>
        </w:rPr>
        <w:t>„Ja“</w:t>
      </w:r>
      <w:r w:rsidR="00706801">
        <w:rPr>
          <w:rFonts w:ascii="Arial" w:hAnsi="Arial" w:cs="Arial"/>
          <w:i/>
          <w:sz w:val="20"/>
          <w:szCs w:val="20"/>
          <w:highlight w:val="lightGray"/>
        </w:rPr>
        <w:t xml:space="preserve"> anzugeben</w:t>
      </w:r>
      <w:r w:rsidR="009F06E5">
        <w:rPr>
          <w:rFonts w:ascii="Arial" w:hAnsi="Arial" w:cs="Arial"/>
          <w:i/>
          <w:sz w:val="20"/>
          <w:szCs w:val="20"/>
          <w:highlight w:val="lightGray"/>
        </w:rPr>
        <w:t>.</w:t>
      </w:r>
    </w:p>
    <w:p w14:paraId="6F6769FF" w14:textId="77777777" w:rsidR="00047F52" w:rsidRPr="00047F52" w:rsidRDefault="00047F52" w:rsidP="00047F52">
      <w:pPr>
        <w:jc w:val="both"/>
        <w:rPr>
          <w:rFonts w:ascii="Arial" w:hAnsi="Arial" w:cs="Arial"/>
          <w:i/>
          <w:sz w:val="20"/>
          <w:szCs w:val="20"/>
          <w:highlight w:val="lightGray"/>
        </w:rPr>
      </w:pPr>
    </w:p>
    <w:p w14:paraId="6D5A5D2F" w14:textId="61FDB737" w:rsidR="00880C53" w:rsidRDefault="00880C53" w:rsidP="00047F52">
      <w:pPr>
        <w:jc w:val="both"/>
        <w:rPr>
          <w:rFonts w:ascii="Arial" w:hAnsi="Arial" w:cs="Arial"/>
          <w:i/>
          <w:sz w:val="20"/>
          <w:szCs w:val="20"/>
          <w:highlight w:val="lightGray"/>
        </w:rPr>
      </w:pPr>
      <w:r>
        <w:rPr>
          <w:rFonts w:ascii="Arial" w:hAnsi="Arial" w:cs="Arial"/>
          <w:i/>
          <w:sz w:val="20"/>
          <w:szCs w:val="20"/>
          <w:highlight w:val="lightGray"/>
        </w:rPr>
        <w:t>Liegen die Voraussetzungen für eine Empfehlung vor (</w:t>
      </w:r>
      <w:r w:rsidR="006F1862">
        <w:rPr>
          <w:rFonts w:ascii="Arial" w:hAnsi="Arial" w:cs="Arial"/>
          <w:i/>
          <w:sz w:val="20"/>
          <w:szCs w:val="20"/>
          <w:highlight w:val="lightGray"/>
        </w:rPr>
        <w:t xml:space="preserve">siehe Revisionsprüfungsrichtlinie </w:t>
      </w:r>
      <w:r w:rsidR="001719F0">
        <w:rPr>
          <w:rFonts w:ascii="Arial" w:hAnsi="Arial" w:cs="Arial"/>
          <w:i/>
          <w:sz w:val="20"/>
          <w:szCs w:val="20"/>
          <w:highlight w:val="lightGray"/>
        </w:rPr>
        <w:t xml:space="preserve">allgemeiner Teil I </w:t>
      </w:r>
      <w:r w:rsidR="006F1862">
        <w:rPr>
          <w:rFonts w:ascii="Arial" w:hAnsi="Arial" w:cs="Arial"/>
          <w:i/>
          <w:sz w:val="20"/>
          <w:szCs w:val="20"/>
          <w:highlight w:val="lightGray"/>
        </w:rPr>
        <w:t>Ziff. 10.2</w:t>
      </w:r>
      <w:r>
        <w:rPr>
          <w:rFonts w:ascii="Arial" w:hAnsi="Arial" w:cs="Arial"/>
          <w:i/>
          <w:sz w:val="20"/>
          <w:szCs w:val="20"/>
          <w:highlight w:val="lightGray"/>
        </w:rPr>
        <w:t>),</w:t>
      </w:r>
      <w:r w:rsidR="006F1862">
        <w:rPr>
          <w:rFonts w:ascii="Arial" w:hAnsi="Arial" w:cs="Arial"/>
          <w:i/>
          <w:sz w:val="20"/>
          <w:szCs w:val="20"/>
          <w:highlight w:val="lightGray"/>
        </w:rPr>
        <w:t xml:space="preserve"> </w:t>
      </w:r>
      <w:r>
        <w:rPr>
          <w:rFonts w:ascii="Arial" w:hAnsi="Arial" w:cs="Arial"/>
          <w:i/>
          <w:sz w:val="20"/>
          <w:szCs w:val="20"/>
          <w:highlight w:val="lightGray"/>
        </w:rPr>
        <w:t xml:space="preserve">so hat 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eine </w:t>
      </w:r>
      <w:r w:rsidR="00F77736">
        <w:rPr>
          <w:rFonts w:ascii="Arial" w:hAnsi="Arial" w:cs="Arial"/>
          <w:i/>
          <w:sz w:val="20"/>
          <w:szCs w:val="20"/>
          <w:highlight w:val="lightGray"/>
        </w:rPr>
        <w:t>kurze</w:t>
      </w:r>
      <w:r>
        <w:rPr>
          <w:rFonts w:ascii="Arial" w:hAnsi="Arial" w:cs="Arial"/>
          <w:i/>
          <w:sz w:val="20"/>
          <w:szCs w:val="20"/>
          <w:highlight w:val="lightGray"/>
        </w:rPr>
        <w:t xml:space="preserve"> </w:t>
      </w:r>
      <w:r w:rsidRPr="00047F52">
        <w:rPr>
          <w:rFonts w:ascii="Arial" w:hAnsi="Arial" w:cs="Arial"/>
          <w:i/>
          <w:sz w:val="20"/>
          <w:szCs w:val="20"/>
          <w:highlight w:val="lightGray"/>
        </w:rPr>
        <w:t xml:space="preserve">Erläuterung </w:t>
      </w:r>
      <w:r>
        <w:rPr>
          <w:rFonts w:ascii="Arial" w:hAnsi="Arial" w:cs="Arial"/>
          <w:i/>
          <w:sz w:val="20"/>
          <w:szCs w:val="20"/>
          <w:highlight w:val="lightGray"/>
        </w:rPr>
        <w:t xml:space="preserve">inklusive Risikoeinschätzung </w:t>
      </w:r>
      <w:r w:rsidRPr="00047F52">
        <w:rPr>
          <w:rFonts w:ascii="Arial" w:hAnsi="Arial" w:cs="Arial"/>
          <w:i/>
          <w:sz w:val="20"/>
          <w:szCs w:val="20"/>
          <w:highlight w:val="lightGray"/>
        </w:rPr>
        <w:t>vor</w:t>
      </w:r>
      <w:r>
        <w:rPr>
          <w:rFonts w:ascii="Arial" w:hAnsi="Arial" w:cs="Arial"/>
          <w:i/>
          <w:sz w:val="20"/>
          <w:szCs w:val="20"/>
          <w:highlight w:val="lightGray"/>
        </w:rPr>
        <w:t>zunehmen.</w:t>
      </w:r>
    </w:p>
    <w:p w14:paraId="49AD3BC2" w14:textId="15DA5E2A" w:rsidR="001E12FA" w:rsidRDefault="001E12FA" w:rsidP="00047F52">
      <w:pPr>
        <w:jc w:val="both"/>
        <w:rPr>
          <w:rFonts w:ascii="Arial" w:hAnsi="Arial" w:cs="Arial"/>
          <w:i/>
          <w:sz w:val="20"/>
          <w:szCs w:val="20"/>
          <w:highlight w:val="lightGray"/>
        </w:rPr>
      </w:pPr>
    </w:p>
    <w:p w14:paraId="755B3F2E" w14:textId="3892702D" w:rsidR="001E12FA" w:rsidRDefault="001E12FA" w:rsidP="00047F52">
      <w:pPr>
        <w:jc w:val="both"/>
        <w:rPr>
          <w:rFonts w:ascii="Arial" w:hAnsi="Arial" w:cs="Arial"/>
          <w:i/>
          <w:sz w:val="20"/>
          <w:szCs w:val="20"/>
          <w:highlight w:val="lightGray"/>
        </w:rPr>
      </w:pPr>
      <w:r>
        <w:rPr>
          <w:rFonts w:ascii="Arial" w:hAnsi="Arial" w:cs="Arial"/>
          <w:i/>
          <w:sz w:val="20"/>
          <w:szCs w:val="20"/>
          <w:highlight w:val="lightGray"/>
        </w:rPr>
        <w:t>Die Erläuterungen bei Prüfgebieten mit Beanstandungen müssen mind. Folgendes enthalten: Nachvollziehbare Angaben zu Ist- und Soll-Sachverhalten mit Gesetzesreferenzierungen; genaue zeitliche Angabe zum Sachverhalt</w:t>
      </w:r>
      <w:r w:rsidR="0089530E">
        <w:rPr>
          <w:rFonts w:ascii="Arial" w:hAnsi="Arial" w:cs="Arial"/>
          <w:i/>
          <w:sz w:val="20"/>
          <w:szCs w:val="20"/>
          <w:highlight w:val="lightGray"/>
        </w:rPr>
        <w:t xml:space="preserve"> (Zeitraum)</w:t>
      </w:r>
      <w:r>
        <w:rPr>
          <w:rFonts w:ascii="Arial" w:hAnsi="Arial" w:cs="Arial"/>
          <w:i/>
          <w:sz w:val="20"/>
          <w:szCs w:val="20"/>
          <w:highlight w:val="lightGray"/>
        </w:rPr>
        <w:t xml:space="preserve">, </w:t>
      </w:r>
      <w:r w:rsidR="0089530E">
        <w:rPr>
          <w:rFonts w:ascii="Arial" w:hAnsi="Arial" w:cs="Arial"/>
          <w:i/>
          <w:sz w:val="20"/>
          <w:szCs w:val="20"/>
          <w:highlight w:val="lightGray"/>
        </w:rPr>
        <w:t xml:space="preserve">Zuständigkeit </w:t>
      </w:r>
      <w:r>
        <w:rPr>
          <w:rFonts w:ascii="Arial" w:hAnsi="Arial" w:cs="Arial"/>
          <w:i/>
          <w:sz w:val="20"/>
          <w:szCs w:val="20"/>
          <w:highlight w:val="lightGray"/>
        </w:rPr>
        <w:t xml:space="preserve">innerhalb der </w:t>
      </w:r>
      <w:r w:rsidR="00F83287" w:rsidRPr="00C44852">
        <w:rPr>
          <w:rFonts w:ascii="Arial" w:hAnsi="Arial" w:cs="Arial"/>
          <w:i/>
          <w:sz w:val="20"/>
          <w:szCs w:val="20"/>
          <w:highlight w:val="lightGray"/>
        </w:rPr>
        <w:t>Bank</w:t>
      </w:r>
      <w:r w:rsidR="00D71E0B">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Pr>
          <w:rFonts w:ascii="Arial" w:hAnsi="Arial" w:cs="Arial"/>
          <w:i/>
          <w:sz w:val="20"/>
          <w:szCs w:val="20"/>
          <w:highlight w:val="lightGray"/>
        </w:rPr>
        <w:t>und zugrundeliegende Quellen für die resultierende Beanstandung</w:t>
      </w:r>
      <w:r w:rsidR="0089530E">
        <w:rPr>
          <w:rFonts w:ascii="Arial" w:hAnsi="Arial" w:cs="Arial"/>
          <w:i/>
          <w:sz w:val="20"/>
          <w:szCs w:val="20"/>
          <w:highlight w:val="lightGray"/>
        </w:rPr>
        <w:t xml:space="preserve"> (Nachweise)</w:t>
      </w:r>
      <w:r>
        <w:rPr>
          <w:rFonts w:ascii="Arial" w:hAnsi="Arial" w:cs="Arial"/>
          <w:i/>
          <w:sz w:val="20"/>
          <w:szCs w:val="20"/>
          <w:highlight w:val="lightGray"/>
        </w:rPr>
        <w:t>.</w:t>
      </w:r>
    </w:p>
    <w:p w14:paraId="3EB5D686" w14:textId="77777777" w:rsidR="00047F52" w:rsidRPr="00047F52" w:rsidRDefault="00047F52" w:rsidP="00047F52">
      <w:pPr>
        <w:jc w:val="both"/>
        <w:rPr>
          <w:rFonts w:ascii="Arial" w:hAnsi="Arial" w:cs="Arial"/>
          <w:i/>
          <w:sz w:val="20"/>
          <w:szCs w:val="20"/>
          <w:highlight w:val="lightGray"/>
        </w:rPr>
      </w:pPr>
    </w:p>
    <w:p w14:paraId="60F3B5A9" w14:textId="77777777"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Eine Abstützung auf </w:t>
      </w:r>
      <w:r w:rsidR="00103265">
        <w:rPr>
          <w:rFonts w:ascii="Arial" w:hAnsi="Arial" w:cs="Arial"/>
          <w:i/>
          <w:sz w:val="20"/>
          <w:szCs w:val="20"/>
          <w:highlight w:val="lightGray"/>
        </w:rPr>
        <w:t>Ergebnisse</w:t>
      </w:r>
      <w:r w:rsidR="00103265" w:rsidRPr="00047F52">
        <w:rPr>
          <w:rFonts w:ascii="Arial" w:hAnsi="Arial" w:cs="Arial"/>
          <w:i/>
          <w:sz w:val="20"/>
          <w:szCs w:val="20"/>
          <w:highlight w:val="lightGray"/>
        </w:rPr>
        <w:t xml:space="preserve"> </w:t>
      </w:r>
      <w:r w:rsidRPr="00047F52">
        <w:rPr>
          <w:rFonts w:ascii="Arial" w:hAnsi="Arial" w:cs="Arial"/>
          <w:i/>
          <w:sz w:val="20"/>
          <w:szCs w:val="20"/>
          <w:highlight w:val="lightGray"/>
        </w:rPr>
        <w:t xml:space="preserve">der internen Revision ist im jeweiligen Prüfgebiet auszuweisen und </w:t>
      </w:r>
      <w:r w:rsidR="00103265">
        <w:rPr>
          <w:rFonts w:ascii="Arial" w:hAnsi="Arial" w:cs="Arial"/>
          <w:i/>
          <w:sz w:val="20"/>
          <w:szCs w:val="20"/>
          <w:highlight w:val="lightGray"/>
        </w:rPr>
        <w:t xml:space="preserve">selbstständig </w:t>
      </w:r>
      <w:r w:rsidRPr="00047F52">
        <w:rPr>
          <w:rFonts w:ascii="Arial" w:hAnsi="Arial" w:cs="Arial"/>
          <w:i/>
          <w:sz w:val="20"/>
          <w:szCs w:val="20"/>
          <w:highlight w:val="lightGray"/>
        </w:rPr>
        <w:t xml:space="preserve">zu würdigen. Es ist anzugeben, in welchem Umfang die </w:t>
      </w:r>
      <w:r w:rsidR="00DC5168">
        <w:rPr>
          <w:rFonts w:ascii="Arial" w:hAnsi="Arial" w:cs="Arial"/>
          <w:i/>
          <w:sz w:val="20"/>
          <w:szCs w:val="20"/>
          <w:highlight w:val="lightGray"/>
        </w:rPr>
        <w:t>I</w:t>
      </w:r>
      <w:r w:rsidRPr="00047F52">
        <w:rPr>
          <w:rFonts w:ascii="Arial" w:hAnsi="Arial" w:cs="Arial"/>
          <w:i/>
          <w:sz w:val="20"/>
          <w:szCs w:val="20"/>
          <w:highlight w:val="lightGray"/>
        </w:rPr>
        <w:t xml:space="preserve">nterne Revision </w:t>
      </w:r>
      <w:r w:rsidR="00D944DE">
        <w:rPr>
          <w:rFonts w:ascii="Arial" w:hAnsi="Arial" w:cs="Arial"/>
          <w:i/>
          <w:sz w:val="20"/>
          <w:szCs w:val="20"/>
          <w:highlight w:val="lightGray"/>
        </w:rPr>
        <w:t>Prüfungshandlungen</w:t>
      </w:r>
      <w:r w:rsidR="00D944DE" w:rsidRPr="00047F52">
        <w:rPr>
          <w:rFonts w:ascii="Arial" w:hAnsi="Arial" w:cs="Arial"/>
          <w:i/>
          <w:sz w:val="20"/>
          <w:szCs w:val="20"/>
          <w:highlight w:val="lightGray"/>
        </w:rPr>
        <w:t xml:space="preserve"> </w:t>
      </w:r>
      <w:r w:rsidRPr="00047F52">
        <w:rPr>
          <w:rFonts w:ascii="Arial" w:hAnsi="Arial" w:cs="Arial"/>
          <w:i/>
          <w:sz w:val="20"/>
          <w:szCs w:val="20"/>
          <w:highlight w:val="lightGray"/>
        </w:rPr>
        <w:t>durchgeführt hat und zu welchem Ergebnis sie dabei gekommen ist.</w:t>
      </w:r>
      <w:r w:rsidR="00094143">
        <w:rPr>
          <w:rFonts w:ascii="Arial" w:hAnsi="Arial" w:cs="Arial"/>
          <w:i/>
          <w:sz w:val="20"/>
          <w:szCs w:val="20"/>
          <w:highlight w:val="lightGray"/>
        </w:rPr>
        <w:t xml:space="preserve"> </w:t>
      </w:r>
    </w:p>
    <w:p w14:paraId="008CEC37" w14:textId="77777777" w:rsidR="00047F52" w:rsidRPr="00047F52" w:rsidRDefault="00047F52" w:rsidP="00047F52">
      <w:pPr>
        <w:jc w:val="both"/>
        <w:rPr>
          <w:rFonts w:ascii="Arial" w:hAnsi="Arial" w:cs="Arial"/>
          <w:i/>
          <w:sz w:val="20"/>
          <w:szCs w:val="20"/>
          <w:highlight w:val="lightGray"/>
        </w:rPr>
      </w:pPr>
    </w:p>
    <w:p w14:paraId="394EA8F6" w14:textId="5CDA1099" w:rsidR="007A36D2" w:rsidRDefault="007A36D2" w:rsidP="00047F52">
      <w:pPr>
        <w:jc w:val="both"/>
        <w:rPr>
          <w:rFonts w:ascii="Arial" w:hAnsi="Arial" w:cs="Arial"/>
          <w:i/>
          <w:sz w:val="20"/>
          <w:szCs w:val="20"/>
          <w:highlight w:val="lightGray"/>
        </w:rPr>
      </w:pPr>
      <w:r w:rsidRPr="00047F52">
        <w:rPr>
          <w:rFonts w:ascii="Arial" w:hAnsi="Arial" w:cs="Arial"/>
          <w:i/>
          <w:sz w:val="20"/>
          <w:szCs w:val="20"/>
          <w:highlight w:val="lightGray"/>
        </w:rPr>
        <w:t xml:space="preserve">In den nachfolgenden Kapiteln nimmt die </w:t>
      </w:r>
      <w:r w:rsidR="009F1ACA">
        <w:rPr>
          <w:rFonts w:ascii="Arial" w:hAnsi="Arial" w:cs="Arial"/>
          <w:i/>
          <w:sz w:val="20"/>
          <w:szCs w:val="20"/>
          <w:highlight w:val="lightGray"/>
        </w:rPr>
        <w:t>Revisionsstelle</w:t>
      </w:r>
      <w:r w:rsidRPr="00047F52">
        <w:rPr>
          <w:rFonts w:ascii="Arial" w:hAnsi="Arial" w:cs="Arial"/>
          <w:i/>
          <w:sz w:val="20"/>
          <w:szCs w:val="20"/>
          <w:highlight w:val="lightGray"/>
        </w:rPr>
        <w:t xml:space="preserve"> Stellung zu den einzelnen Prüfgebieten gemäss </w:t>
      </w:r>
      <w:r w:rsidR="00FD03D6">
        <w:rPr>
          <w:rFonts w:ascii="Arial" w:hAnsi="Arial" w:cs="Arial"/>
          <w:i/>
          <w:sz w:val="20"/>
          <w:szCs w:val="20"/>
          <w:highlight w:val="lightGray"/>
        </w:rPr>
        <w:t xml:space="preserve">der </w:t>
      </w:r>
      <w:r w:rsidR="0030349B">
        <w:rPr>
          <w:rFonts w:ascii="Arial" w:hAnsi="Arial" w:cs="Arial"/>
          <w:i/>
          <w:sz w:val="20"/>
          <w:szCs w:val="20"/>
          <w:highlight w:val="lightGray"/>
        </w:rPr>
        <w:t>Prüfstrategie</w:t>
      </w:r>
      <w:r w:rsidRPr="00047F52">
        <w:rPr>
          <w:rFonts w:ascii="Arial" w:hAnsi="Arial" w:cs="Arial"/>
          <w:i/>
          <w:sz w:val="20"/>
          <w:szCs w:val="20"/>
          <w:highlight w:val="lightGray"/>
        </w:rPr>
        <w:t xml:space="preserve">. Allfällige spezifische Vorgaben der </w:t>
      </w:r>
      <w:r w:rsidR="0030349B">
        <w:rPr>
          <w:rFonts w:ascii="Arial" w:hAnsi="Arial" w:cs="Arial"/>
          <w:i/>
          <w:sz w:val="20"/>
          <w:szCs w:val="20"/>
          <w:highlight w:val="lightGray"/>
        </w:rPr>
        <w:t>FMA</w:t>
      </w:r>
      <w:r w:rsidRPr="00047F52">
        <w:rPr>
          <w:rFonts w:ascii="Arial" w:hAnsi="Arial" w:cs="Arial"/>
          <w:i/>
          <w:sz w:val="20"/>
          <w:szCs w:val="20"/>
          <w:highlight w:val="lightGray"/>
        </w:rPr>
        <w:t xml:space="preserve"> </w:t>
      </w:r>
      <w:r w:rsidR="000B20E4">
        <w:rPr>
          <w:rFonts w:ascii="Arial" w:hAnsi="Arial" w:cs="Arial"/>
          <w:i/>
          <w:sz w:val="20"/>
          <w:szCs w:val="20"/>
          <w:highlight w:val="lightGray"/>
        </w:rPr>
        <w:t xml:space="preserve">sind durch die </w:t>
      </w:r>
      <w:r w:rsidR="009F1ACA">
        <w:rPr>
          <w:rFonts w:ascii="Arial" w:hAnsi="Arial" w:cs="Arial"/>
          <w:i/>
          <w:sz w:val="20"/>
          <w:szCs w:val="20"/>
          <w:highlight w:val="lightGray"/>
        </w:rPr>
        <w:t>Revisionsstelle</w:t>
      </w:r>
      <w:r w:rsidR="000B20E4">
        <w:rPr>
          <w:rFonts w:ascii="Arial" w:hAnsi="Arial" w:cs="Arial"/>
          <w:i/>
          <w:sz w:val="20"/>
          <w:szCs w:val="20"/>
          <w:highlight w:val="lightGray"/>
        </w:rPr>
        <w:t xml:space="preserve"> zu</w:t>
      </w:r>
      <w:r w:rsidR="000B20E4" w:rsidRPr="00047F52">
        <w:rPr>
          <w:rFonts w:ascii="Arial" w:hAnsi="Arial" w:cs="Arial"/>
          <w:i/>
          <w:sz w:val="20"/>
          <w:szCs w:val="20"/>
          <w:highlight w:val="lightGray"/>
        </w:rPr>
        <w:t xml:space="preserve"> </w:t>
      </w:r>
      <w:r w:rsidRPr="00047F52">
        <w:rPr>
          <w:rFonts w:ascii="Arial" w:hAnsi="Arial" w:cs="Arial"/>
          <w:i/>
          <w:sz w:val="20"/>
          <w:szCs w:val="20"/>
          <w:highlight w:val="lightGray"/>
        </w:rPr>
        <w:t>berücksichtig</w:t>
      </w:r>
      <w:r w:rsidR="000B20E4">
        <w:rPr>
          <w:rFonts w:ascii="Arial" w:hAnsi="Arial" w:cs="Arial"/>
          <w:i/>
          <w:sz w:val="20"/>
          <w:szCs w:val="20"/>
          <w:highlight w:val="lightGray"/>
        </w:rPr>
        <w:t>en</w:t>
      </w:r>
      <w:r w:rsidRPr="00047F52">
        <w:rPr>
          <w:rFonts w:ascii="Arial" w:hAnsi="Arial" w:cs="Arial"/>
          <w:i/>
          <w:sz w:val="20"/>
          <w:szCs w:val="20"/>
          <w:highlight w:val="lightGray"/>
        </w:rPr>
        <w:t>.</w:t>
      </w:r>
      <w:r w:rsidR="00E109DF">
        <w:rPr>
          <w:rFonts w:ascii="Arial" w:hAnsi="Arial" w:cs="Arial"/>
          <w:i/>
          <w:sz w:val="20"/>
          <w:szCs w:val="20"/>
          <w:highlight w:val="lightGray"/>
        </w:rPr>
        <w:t xml:space="preserve"> </w:t>
      </w:r>
    </w:p>
    <w:p w14:paraId="19B4BAF0" w14:textId="77777777" w:rsidR="00047F52" w:rsidRPr="00047F52" w:rsidRDefault="00047F52" w:rsidP="00047F52">
      <w:pPr>
        <w:jc w:val="both"/>
        <w:rPr>
          <w:rFonts w:ascii="Arial" w:hAnsi="Arial" w:cs="Arial"/>
          <w:i/>
          <w:sz w:val="20"/>
          <w:szCs w:val="20"/>
          <w:highlight w:val="lightGray"/>
        </w:rPr>
      </w:pPr>
    </w:p>
    <w:p w14:paraId="457458C3" w14:textId="4F453206" w:rsidR="00EC06B1" w:rsidRDefault="0030349B" w:rsidP="00047F52">
      <w:pPr>
        <w:jc w:val="both"/>
        <w:rPr>
          <w:rFonts w:ascii="Arial" w:hAnsi="Arial" w:cs="Arial"/>
          <w:i/>
          <w:sz w:val="20"/>
          <w:szCs w:val="20"/>
          <w:highlight w:val="lightGray"/>
        </w:rPr>
      </w:pPr>
      <w:r>
        <w:rPr>
          <w:rFonts w:ascii="Arial" w:hAnsi="Arial" w:cs="Arial"/>
          <w:i/>
          <w:sz w:val="20"/>
          <w:szCs w:val="20"/>
          <w:highlight w:val="lightGray"/>
        </w:rPr>
        <w:t>Sofern im</w:t>
      </w:r>
      <w:r w:rsidR="007A36D2" w:rsidRPr="00047F52">
        <w:rPr>
          <w:rFonts w:ascii="Arial" w:hAnsi="Arial" w:cs="Arial"/>
          <w:i/>
          <w:sz w:val="20"/>
          <w:szCs w:val="20"/>
          <w:highlight w:val="lightGray"/>
        </w:rPr>
        <w:t xml:space="preserve"> Berichtsjahr i</w:t>
      </w:r>
      <w:r>
        <w:rPr>
          <w:rFonts w:ascii="Arial" w:hAnsi="Arial" w:cs="Arial"/>
          <w:i/>
          <w:sz w:val="20"/>
          <w:szCs w:val="20"/>
          <w:highlight w:val="lightGray"/>
        </w:rPr>
        <w:t>n einem Prüfgebiet bzw. -</w:t>
      </w:r>
      <w:r w:rsidR="007A36D2" w:rsidRPr="00047F52">
        <w:rPr>
          <w:rFonts w:ascii="Arial" w:hAnsi="Arial" w:cs="Arial"/>
          <w:i/>
          <w:sz w:val="20"/>
          <w:szCs w:val="20"/>
          <w:highlight w:val="lightGray"/>
        </w:rPr>
        <w:t xml:space="preserve">feld keine Intervention erfolgte, </w:t>
      </w:r>
      <w:r>
        <w:rPr>
          <w:rFonts w:ascii="Arial" w:hAnsi="Arial" w:cs="Arial"/>
          <w:i/>
          <w:sz w:val="20"/>
          <w:szCs w:val="20"/>
          <w:highlight w:val="lightGray"/>
        </w:rPr>
        <w:t>müssen diese nicht im Bericht aufgeführt werden</w:t>
      </w:r>
      <w:r w:rsidR="00E962D3">
        <w:rPr>
          <w:rFonts w:ascii="Arial" w:hAnsi="Arial" w:cs="Arial"/>
          <w:i/>
          <w:sz w:val="20"/>
          <w:szCs w:val="20"/>
          <w:highlight w:val="lightGray"/>
        </w:rPr>
        <w:t>, wobei die entsprechende Berichtsziffer inkl. den Formatvorlagen gelöscht werden kann.</w:t>
      </w:r>
    </w:p>
    <w:p w14:paraId="1B7E06EF" w14:textId="77777777" w:rsidR="00EC06B1" w:rsidRDefault="00EC06B1" w:rsidP="00047F52">
      <w:pPr>
        <w:jc w:val="both"/>
        <w:rPr>
          <w:rFonts w:ascii="Arial" w:hAnsi="Arial" w:cs="Arial"/>
          <w:i/>
          <w:sz w:val="20"/>
          <w:szCs w:val="20"/>
          <w:highlight w:val="lightGray"/>
        </w:rPr>
      </w:pPr>
    </w:p>
    <w:p w14:paraId="4CDCCD59" w14:textId="32ED1E5F" w:rsidR="0030349B" w:rsidRDefault="008C2C78" w:rsidP="00047F52">
      <w:pPr>
        <w:jc w:val="both"/>
        <w:rPr>
          <w:rFonts w:ascii="Arial" w:hAnsi="Arial" w:cs="Arial"/>
          <w:i/>
          <w:sz w:val="20"/>
          <w:szCs w:val="20"/>
          <w:highlight w:val="lightGray"/>
        </w:rPr>
      </w:pPr>
      <w:r>
        <w:rPr>
          <w:rFonts w:ascii="Arial" w:hAnsi="Arial" w:cs="Arial"/>
          <w:i/>
          <w:sz w:val="20"/>
          <w:szCs w:val="20"/>
          <w:highlight w:val="lightGray"/>
        </w:rPr>
        <w:lastRenderedPageBreak/>
        <w:t xml:space="preserve">Für Prüfgebiete bzw. </w:t>
      </w:r>
      <w:r w:rsidR="00BF3D88">
        <w:rPr>
          <w:rFonts w:ascii="Arial" w:hAnsi="Arial" w:cs="Arial"/>
          <w:i/>
          <w:sz w:val="20"/>
          <w:szCs w:val="20"/>
          <w:highlight w:val="lightGray"/>
        </w:rPr>
        <w:t>-</w:t>
      </w:r>
      <w:r>
        <w:rPr>
          <w:rFonts w:ascii="Arial" w:hAnsi="Arial" w:cs="Arial"/>
          <w:i/>
          <w:sz w:val="20"/>
          <w:szCs w:val="20"/>
          <w:highlight w:val="lightGray"/>
        </w:rPr>
        <w:t xml:space="preserve">felder, welche im Berichtsjahr mittels Detailprüfung geprüft wurden, sind zwingend </w:t>
      </w:r>
      <w:r w:rsidR="00DD1307">
        <w:rPr>
          <w:rFonts w:ascii="Arial" w:hAnsi="Arial" w:cs="Arial"/>
          <w:i/>
          <w:sz w:val="20"/>
          <w:szCs w:val="20"/>
          <w:highlight w:val="lightGray"/>
        </w:rPr>
        <w:t xml:space="preserve">aussagekräftige Erläuterungen aufzuführen. </w:t>
      </w:r>
      <w:r w:rsidR="0030349B">
        <w:rPr>
          <w:rFonts w:ascii="Arial" w:hAnsi="Arial" w:cs="Arial"/>
          <w:i/>
          <w:sz w:val="20"/>
          <w:szCs w:val="20"/>
          <w:highlight w:val="lightGray"/>
        </w:rPr>
        <w:t>Jene</w:t>
      </w:r>
      <w:r w:rsidR="00EC06B1">
        <w:rPr>
          <w:rFonts w:ascii="Arial" w:hAnsi="Arial" w:cs="Arial"/>
          <w:i/>
          <w:sz w:val="20"/>
          <w:szCs w:val="20"/>
          <w:highlight w:val="lightGray"/>
        </w:rPr>
        <w:t xml:space="preserve"> Prüfgebiete</w:t>
      </w:r>
      <w:r w:rsidR="0030349B">
        <w:rPr>
          <w:rFonts w:ascii="Arial" w:hAnsi="Arial" w:cs="Arial"/>
          <w:i/>
          <w:sz w:val="20"/>
          <w:szCs w:val="20"/>
          <w:highlight w:val="lightGray"/>
        </w:rPr>
        <w:t xml:space="preserve"> bzw. </w:t>
      </w:r>
      <w:r w:rsidR="00BF3D88">
        <w:rPr>
          <w:rFonts w:ascii="Arial" w:hAnsi="Arial" w:cs="Arial"/>
          <w:i/>
          <w:sz w:val="20"/>
          <w:szCs w:val="20"/>
          <w:highlight w:val="lightGray"/>
        </w:rPr>
        <w:t>-</w:t>
      </w:r>
      <w:r w:rsidR="00EC06B1">
        <w:rPr>
          <w:rFonts w:ascii="Arial" w:hAnsi="Arial" w:cs="Arial"/>
          <w:i/>
          <w:sz w:val="20"/>
          <w:szCs w:val="20"/>
          <w:highlight w:val="lightGray"/>
        </w:rPr>
        <w:t>felder</w:t>
      </w:r>
      <w:r w:rsidR="0030349B">
        <w:rPr>
          <w:rFonts w:ascii="Arial" w:hAnsi="Arial" w:cs="Arial"/>
          <w:i/>
          <w:sz w:val="20"/>
          <w:szCs w:val="20"/>
          <w:highlight w:val="lightGray"/>
        </w:rPr>
        <w:t xml:space="preserve">, </w:t>
      </w:r>
      <w:r w:rsidR="00EC06B1">
        <w:rPr>
          <w:rFonts w:ascii="Arial" w:hAnsi="Arial" w:cs="Arial"/>
          <w:i/>
          <w:sz w:val="20"/>
          <w:szCs w:val="20"/>
          <w:highlight w:val="lightGray"/>
        </w:rPr>
        <w:t>hinsichtlich welcher</w:t>
      </w:r>
      <w:r w:rsidR="0030349B">
        <w:rPr>
          <w:rFonts w:ascii="Arial" w:hAnsi="Arial" w:cs="Arial"/>
          <w:i/>
          <w:sz w:val="20"/>
          <w:szCs w:val="20"/>
          <w:highlight w:val="lightGray"/>
        </w:rPr>
        <w:t xml:space="preserve"> im Berichtjahr</w:t>
      </w:r>
      <w:r w:rsidR="00EC06B1">
        <w:rPr>
          <w:rFonts w:ascii="Arial" w:hAnsi="Arial" w:cs="Arial"/>
          <w:i/>
          <w:sz w:val="20"/>
          <w:szCs w:val="20"/>
          <w:highlight w:val="lightGray"/>
        </w:rPr>
        <w:t xml:space="preserve"> eine kritische Beurteilung</w:t>
      </w:r>
      <w:r w:rsidR="0030349B">
        <w:rPr>
          <w:rFonts w:ascii="Arial" w:hAnsi="Arial" w:cs="Arial"/>
          <w:i/>
          <w:sz w:val="20"/>
          <w:szCs w:val="20"/>
          <w:highlight w:val="lightGray"/>
        </w:rPr>
        <w:t xml:space="preserve"> durchgefüh</w:t>
      </w:r>
      <w:r w:rsidR="00EC06B1">
        <w:rPr>
          <w:rFonts w:ascii="Arial" w:hAnsi="Arial" w:cs="Arial"/>
          <w:i/>
          <w:sz w:val="20"/>
          <w:szCs w:val="20"/>
          <w:highlight w:val="lightGray"/>
        </w:rPr>
        <w:t>r</w:t>
      </w:r>
      <w:r w:rsidR="0030349B">
        <w:rPr>
          <w:rFonts w:ascii="Arial" w:hAnsi="Arial" w:cs="Arial"/>
          <w:i/>
          <w:sz w:val="20"/>
          <w:szCs w:val="20"/>
          <w:highlight w:val="lightGray"/>
        </w:rPr>
        <w:t>t wurde</w:t>
      </w:r>
      <w:r w:rsidR="00EC06B1">
        <w:rPr>
          <w:rFonts w:ascii="Arial" w:hAnsi="Arial" w:cs="Arial"/>
          <w:i/>
          <w:sz w:val="20"/>
          <w:szCs w:val="20"/>
          <w:highlight w:val="lightGray"/>
        </w:rPr>
        <w:t xml:space="preserve"> und aus den durchgeführten Prüfungshandlungen keine Beanstandungen oder Empfehlungen resultierten</w:t>
      </w:r>
      <w:r w:rsidR="0030349B">
        <w:rPr>
          <w:rFonts w:ascii="Arial" w:hAnsi="Arial" w:cs="Arial"/>
          <w:i/>
          <w:sz w:val="20"/>
          <w:szCs w:val="20"/>
          <w:highlight w:val="lightGray"/>
        </w:rPr>
        <w:t xml:space="preserve">, </w:t>
      </w:r>
      <w:r w:rsidR="00DD1307">
        <w:rPr>
          <w:rFonts w:ascii="Arial" w:hAnsi="Arial" w:cs="Arial"/>
          <w:i/>
          <w:sz w:val="20"/>
          <w:szCs w:val="20"/>
          <w:highlight w:val="lightGray"/>
        </w:rPr>
        <w:t>können</w:t>
      </w:r>
      <w:r w:rsidR="0030349B">
        <w:rPr>
          <w:rFonts w:ascii="Arial" w:hAnsi="Arial" w:cs="Arial"/>
          <w:i/>
          <w:sz w:val="20"/>
          <w:szCs w:val="20"/>
          <w:highlight w:val="lightGray"/>
        </w:rPr>
        <w:t xml:space="preserve"> ohne Erläuterungen</w:t>
      </w:r>
      <w:r w:rsidR="00BF3D88">
        <w:rPr>
          <w:rFonts w:ascii="Arial" w:hAnsi="Arial" w:cs="Arial"/>
          <w:i/>
          <w:sz w:val="20"/>
          <w:szCs w:val="20"/>
          <w:highlight w:val="lightGray"/>
        </w:rPr>
        <w:t xml:space="preserve"> </w:t>
      </w:r>
      <w:r w:rsidR="0030349B">
        <w:rPr>
          <w:rFonts w:ascii="Arial" w:hAnsi="Arial" w:cs="Arial"/>
          <w:i/>
          <w:sz w:val="20"/>
          <w:szCs w:val="20"/>
          <w:highlight w:val="lightGray"/>
        </w:rPr>
        <w:t>auf</w:t>
      </w:r>
      <w:r w:rsidR="00DD1307">
        <w:rPr>
          <w:rFonts w:ascii="Arial" w:hAnsi="Arial" w:cs="Arial"/>
          <w:i/>
          <w:sz w:val="20"/>
          <w:szCs w:val="20"/>
          <w:highlight w:val="lightGray"/>
        </w:rPr>
        <w:t>geführt werden</w:t>
      </w:r>
      <w:r w:rsidR="0030349B">
        <w:rPr>
          <w:rFonts w:ascii="Arial" w:hAnsi="Arial" w:cs="Arial"/>
          <w:i/>
          <w:sz w:val="20"/>
          <w:szCs w:val="20"/>
          <w:highlight w:val="lightGray"/>
        </w:rPr>
        <w:t xml:space="preserve">. </w:t>
      </w:r>
    </w:p>
    <w:p w14:paraId="4DBEB6F5" w14:textId="77777777" w:rsidR="001B2B32" w:rsidRDefault="001B2B32" w:rsidP="00047F52">
      <w:pPr>
        <w:jc w:val="both"/>
        <w:rPr>
          <w:rFonts w:ascii="Arial" w:hAnsi="Arial" w:cs="Arial"/>
          <w:i/>
          <w:sz w:val="20"/>
          <w:szCs w:val="20"/>
          <w:highlight w:val="lightGray"/>
        </w:rPr>
      </w:pPr>
    </w:p>
    <w:p w14:paraId="59815E5B" w14:textId="64E64D81" w:rsidR="001E12FA" w:rsidRDefault="004F6209" w:rsidP="00047F52">
      <w:pPr>
        <w:jc w:val="both"/>
        <w:rPr>
          <w:rFonts w:ascii="Arial" w:hAnsi="Arial" w:cs="Arial"/>
          <w:i/>
          <w:sz w:val="20"/>
          <w:szCs w:val="20"/>
          <w:highlight w:val="lightGray"/>
        </w:rPr>
      </w:pPr>
      <w:r>
        <w:rPr>
          <w:rFonts w:ascii="Arial" w:hAnsi="Arial" w:cs="Arial"/>
          <w:i/>
          <w:sz w:val="20"/>
          <w:szCs w:val="20"/>
          <w:highlight w:val="lightGray"/>
        </w:rPr>
        <w:t xml:space="preserve">Die </w:t>
      </w:r>
      <w:r w:rsidR="009F1ACA">
        <w:rPr>
          <w:rFonts w:ascii="Arial" w:hAnsi="Arial" w:cs="Arial"/>
          <w:i/>
          <w:sz w:val="20"/>
          <w:szCs w:val="20"/>
          <w:highlight w:val="lightGray"/>
        </w:rPr>
        <w:t>Revisionsstelle</w:t>
      </w:r>
      <w:r>
        <w:rPr>
          <w:rFonts w:ascii="Arial" w:hAnsi="Arial" w:cs="Arial"/>
          <w:i/>
          <w:sz w:val="20"/>
          <w:szCs w:val="20"/>
          <w:highlight w:val="lightGray"/>
        </w:rPr>
        <w:t xml:space="preserve"> hat den Umfang und Tiefe der Erläuterungen so auszugestalten, dass sich </w:t>
      </w:r>
      <w:r w:rsidR="002E51D3">
        <w:rPr>
          <w:rFonts w:ascii="Arial" w:hAnsi="Arial" w:cs="Arial"/>
          <w:i/>
          <w:sz w:val="20"/>
          <w:szCs w:val="20"/>
          <w:highlight w:val="lightGray"/>
        </w:rPr>
        <w:t xml:space="preserve">der Verwaltungsrat der </w:t>
      </w:r>
      <w:r w:rsidR="00F83287" w:rsidRPr="00C44852">
        <w:rPr>
          <w:rFonts w:ascii="Arial" w:hAnsi="Arial" w:cs="Arial"/>
          <w:i/>
          <w:sz w:val="20"/>
          <w:szCs w:val="20"/>
          <w:highlight w:val="lightGray"/>
        </w:rPr>
        <w:t>Bank</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sidR="002E51D3">
        <w:rPr>
          <w:rFonts w:ascii="Arial" w:hAnsi="Arial" w:cs="Arial"/>
          <w:i/>
          <w:sz w:val="20"/>
          <w:szCs w:val="20"/>
          <w:highlight w:val="lightGray"/>
        </w:rPr>
        <w:t xml:space="preserve">sowie die FMA ein angemessenes Bild über das jeweilige </w:t>
      </w:r>
      <w:r w:rsidR="00373E08">
        <w:rPr>
          <w:rFonts w:ascii="Arial" w:hAnsi="Arial" w:cs="Arial"/>
          <w:i/>
          <w:sz w:val="20"/>
          <w:szCs w:val="20"/>
          <w:highlight w:val="lightGray"/>
        </w:rPr>
        <w:t xml:space="preserve">mit der Prüftiefe „Detailprüfung“ </w:t>
      </w:r>
      <w:r w:rsidR="00F77736">
        <w:rPr>
          <w:rFonts w:ascii="Arial" w:hAnsi="Arial" w:cs="Arial"/>
          <w:i/>
          <w:sz w:val="20"/>
          <w:szCs w:val="20"/>
          <w:highlight w:val="lightGray"/>
        </w:rPr>
        <w:t xml:space="preserve">abgedeckte Prüffeld </w:t>
      </w:r>
      <w:r w:rsidR="002E51D3">
        <w:rPr>
          <w:rFonts w:ascii="Arial" w:hAnsi="Arial" w:cs="Arial"/>
          <w:i/>
          <w:sz w:val="20"/>
          <w:szCs w:val="20"/>
          <w:highlight w:val="lightGray"/>
        </w:rPr>
        <w:t xml:space="preserve">bilden kann. Die Erläuterungen </w:t>
      </w:r>
      <w:r w:rsidR="00B4590B">
        <w:rPr>
          <w:rFonts w:ascii="Arial" w:hAnsi="Arial" w:cs="Arial"/>
          <w:i/>
          <w:sz w:val="20"/>
          <w:szCs w:val="20"/>
          <w:highlight w:val="lightGray"/>
        </w:rPr>
        <w:t xml:space="preserve">im Rahmen der Detailprüfung </w:t>
      </w:r>
      <w:r w:rsidR="002E51D3">
        <w:rPr>
          <w:rFonts w:ascii="Arial" w:hAnsi="Arial" w:cs="Arial"/>
          <w:i/>
          <w:sz w:val="20"/>
          <w:szCs w:val="20"/>
          <w:highlight w:val="lightGray"/>
        </w:rPr>
        <w:t xml:space="preserve">müssen aussagekräftig sein und Rückschlüsse auf die </w:t>
      </w:r>
      <w:r w:rsidR="001E12FA">
        <w:rPr>
          <w:rFonts w:ascii="Arial" w:hAnsi="Arial" w:cs="Arial"/>
          <w:i/>
          <w:sz w:val="20"/>
          <w:szCs w:val="20"/>
          <w:highlight w:val="lightGray"/>
        </w:rPr>
        <w:t xml:space="preserve">einzelnen </w:t>
      </w:r>
      <w:r w:rsidR="002E51D3">
        <w:rPr>
          <w:rFonts w:ascii="Arial" w:hAnsi="Arial" w:cs="Arial"/>
          <w:i/>
          <w:sz w:val="20"/>
          <w:szCs w:val="20"/>
          <w:highlight w:val="lightGray"/>
        </w:rPr>
        <w:t xml:space="preserve">Mindestprüfinhalte bzw. Prüfelemente geben. </w:t>
      </w:r>
      <w:r w:rsidR="00845076">
        <w:rPr>
          <w:rFonts w:ascii="Arial" w:hAnsi="Arial" w:cs="Arial"/>
          <w:i/>
          <w:sz w:val="20"/>
          <w:szCs w:val="20"/>
          <w:highlight w:val="lightGray"/>
        </w:rPr>
        <w:t>Zudem si</w:t>
      </w:r>
      <w:r w:rsidR="001E12FA">
        <w:rPr>
          <w:rFonts w:ascii="Arial" w:hAnsi="Arial" w:cs="Arial"/>
          <w:i/>
          <w:sz w:val="20"/>
          <w:szCs w:val="20"/>
          <w:highlight w:val="lightGray"/>
        </w:rPr>
        <w:t xml:space="preserve">nd Erläuterungen zur Stichprobenauswahl und der Stichprobengrösse im Verhältnis zum Gesamtvolumen darzulegen. </w:t>
      </w:r>
    </w:p>
    <w:p w14:paraId="79DCF84D" w14:textId="77777777" w:rsidR="0030349B" w:rsidRDefault="0030349B" w:rsidP="00047F52">
      <w:pPr>
        <w:jc w:val="both"/>
        <w:rPr>
          <w:rFonts w:ascii="Arial" w:hAnsi="Arial" w:cs="Arial"/>
          <w:i/>
          <w:sz w:val="20"/>
          <w:szCs w:val="20"/>
          <w:highlight w:val="lightGray"/>
        </w:rPr>
      </w:pPr>
    </w:p>
    <w:p w14:paraId="2D2E8EC5" w14:textId="723841ED" w:rsidR="00282891" w:rsidRDefault="00282891" w:rsidP="00047F52">
      <w:pPr>
        <w:jc w:val="both"/>
        <w:rPr>
          <w:rFonts w:ascii="Arial" w:hAnsi="Arial" w:cs="Arial"/>
          <w:i/>
          <w:sz w:val="20"/>
          <w:szCs w:val="20"/>
          <w:highlight w:val="lightGray"/>
        </w:rPr>
      </w:pPr>
      <w:r>
        <w:rPr>
          <w:rFonts w:ascii="Arial" w:hAnsi="Arial" w:cs="Arial"/>
          <w:i/>
          <w:sz w:val="20"/>
          <w:szCs w:val="20"/>
          <w:highlight w:val="lightGray"/>
        </w:rPr>
        <w:t xml:space="preserve">Im Musterbericht sind pro Prüfelement die </w:t>
      </w:r>
      <w:r w:rsidR="00DD1307">
        <w:rPr>
          <w:rFonts w:ascii="Arial" w:hAnsi="Arial" w:cs="Arial"/>
          <w:i/>
          <w:sz w:val="20"/>
          <w:szCs w:val="20"/>
          <w:highlight w:val="lightGray"/>
        </w:rPr>
        <w:t>Mindestp</w:t>
      </w:r>
      <w:r>
        <w:rPr>
          <w:rFonts w:ascii="Arial" w:hAnsi="Arial" w:cs="Arial"/>
          <w:i/>
          <w:sz w:val="20"/>
          <w:szCs w:val="20"/>
          <w:highlight w:val="lightGray"/>
        </w:rPr>
        <w:t>rüfinhalte</w:t>
      </w:r>
      <w:r w:rsidR="00CE3194">
        <w:rPr>
          <w:rFonts w:ascii="Arial" w:hAnsi="Arial" w:cs="Arial"/>
          <w:i/>
          <w:sz w:val="20"/>
          <w:szCs w:val="20"/>
          <w:highlight w:val="lightGray"/>
        </w:rPr>
        <w:t xml:space="preserve"> (jeweils auslegbar auf das zugrundeliegende Prüffeld)</w:t>
      </w:r>
      <w:r>
        <w:rPr>
          <w:rFonts w:ascii="Arial" w:hAnsi="Arial" w:cs="Arial"/>
          <w:i/>
          <w:sz w:val="20"/>
          <w:szCs w:val="20"/>
          <w:highlight w:val="lightGray"/>
        </w:rPr>
        <w:t xml:space="preserve">, welche durch die Prüfungshandlungen der </w:t>
      </w:r>
      <w:r w:rsidR="009F1ACA">
        <w:rPr>
          <w:rFonts w:ascii="Arial" w:hAnsi="Arial" w:cs="Arial"/>
          <w:i/>
          <w:sz w:val="20"/>
          <w:szCs w:val="20"/>
          <w:highlight w:val="lightGray"/>
        </w:rPr>
        <w:t>Revisionsstelle</w:t>
      </w:r>
      <w:r>
        <w:rPr>
          <w:rFonts w:ascii="Arial" w:hAnsi="Arial" w:cs="Arial"/>
          <w:i/>
          <w:sz w:val="20"/>
          <w:szCs w:val="20"/>
          <w:highlight w:val="lightGray"/>
        </w:rPr>
        <w:t xml:space="preserve"> für d</w:t>
      </w:r>
      <w:r w:rsidR="002C17F7">
        <w:rPr>
          <w:rFonts w:ascii="Arial" w:hAnsi="Arial" w:cs="Arial"/>
          <w:i/>
          <w:sz w:val="20"/>
          <w:szCs w:val="20"/>
          <w:highlight w:val="lightGray"/>
        </w:rPr>
        <w:t xml:space="preserve">ie </w:t>
      </w:r>
      <w:r w:rsidR="0052155F">
        <w:rPr>
          <w:rFonts w:ascii="Arial" w:hAnsi="Arial" w:cs="Arial"/>
          <w:i/>
          <w:sz w:val="20"/>
          <w:szCs w:val="20"/>
          <w:highlight w:val="lightGray"/>
        </w:rPr>
        <w:t xml:space="preserve">Beurteilung und </w:t>
      </w:r>
      <w:r w:rsidR="002C17F7">
        <w:rPr>
          <w:rFonts w:ascii="Arial" w:hAnsi="Arial" w:cs="Arial"/>
          <w:i/>
          <w:sz w:val="20"/>
          <w:szCs w:val="20"/>
          <w:highlight w:val="lightGray"/>
        </w:rPr>
        <w:t>Abgabe der Prüfbestätigungen</w:t>
      </w:r>
      <w:r>
        <w:rPr>
          <w:rFonts w:ascii="Arial" w:hAnsi="Arial" w:cs="Arial"/>
          <w:i/>
          <w:sz w:val="20"/>
          <w:szCs w:val="20"/>
          <w:highlight w:val="lightGray"/>
        </w:rPr>
        <w:t xml:space="preserve"> abzudecken sind</w:t>
      </w:r>
      <w:r w:rsidR="002C17F7">
        <w:rPr>
          <w:rFonts w:ascii="Arial" w:hAnsi="Arial" w:cs="Arial"/>
          <w:i/>
          <w:sz w:val="20"/>
          <w:szCs w:val="20"/>
          <w:highlight w:val="lightGray"/>
        </w:rPr>
        <w:t>,</w:t>
      </w:r>
      <w:r>
        <w:rPr>
          <w:rFonts w:ascii="Arial" w:hAnsi="Arial" w:cs="Arial"/>
          <w:i/>
          <w:sz w:val="20"/>
          <w:szCs w:val="20"/>
          <w:highlight w:val="lightGray"/>
        </w:rPr>
        <w:t xml:space="preserve"> aufgeführt. Es liegt in der Verantwortung der </w:t>
      </w:r>
      <w:r w:rsidR="009F1ACA">
        <w:rPr>
          <w:rFonts w:ascii="Arial" w:hAnsi="Arial" w:cs="Arial"/>
          <w:i/>
          <w:sz w:val="20"/>
          <w:szCs w:val="20"/>
          <w:highlight w:val="lightGray"/>
        </w:rPr>
        <w:t>Revisionsstelle</w:t>
      </w:r>
      <w:r>
        <w:rPr>
          <w:rFonts w:ascii="Arial" w:hAnsi="Arial" w:cs="Arial"/>
          <w:i/>
          <w:sz w:val="20"/>
          <w:szCs w:val="20"/>
          <w:highlight w:val="lightGray"/>
        </w:rPr>
        <w:t xml:space="preserve"> die </w:t>
      </w:r>
      <w:r w:rsidR="00DD1307">
        <w:rPr>
          <w:rFonts w:ascii="Arial" w:hAnsi="Arial" w:cs="Arial"/>
          <w:i/>
          <w:sz w:val="20"/>
          <w:szCs w:val="20"/>
          <w:highlight w:val="lightGray"/>
        </w:rPr>
        <w:t>Mindestp</w:t>
      </w:r>
      <w:r>
        <w:rPr>
          <w:rFonts w:ascii="Arial" w:hAnsi="Arial" w:cs="Arial"/>
          <w:i/>
          <w:sz w:val="20"/>
          <w:szCs w:val="20"/>
          <w:highlight w:val="lightGray"/>
        </w:rPr>
        <w:t>rüfinhalte an die spezifische Situation de</w:t>
      </w:r>
      <w:r w:rsidR="00DD1307">
        <w:rPr>
          <w:rFonts w:ascii="Arial" w:hAnsi="Arial" w:cs="Arial"/>
          <w:i/>
          <w:sz w:val="20"/>
          <w:szCs w:val="20"/>
          <w:highlight w:val="lightGray"/>
        </w:rPr>
        <w:t>r</w:t>
      </w:r>
      <w:r>
        <w:rPr>
          <w:rFonts w:ascii="Arial" w:hAnsi="Arial" w:cs="Arial"/>
          <w:i/>
          <w:sz w:val="20"/>
          <w:szCs w:val="20"/>
          <w:highlight w:val="lightGray"/>
        </w:rPr>
        <w:t xml:space="preserve"> zu prüfenden </w:t>
      </w:r>
      <w:r w:rsidR="00F83287" w:rsidRPr="00C44852">
        <w:rPr>
          <w:rFonts w:ascii="Arial" w:hAnsi="Arial" w:cs="Arial"/>
          <w:i/>
          <w:sz w:val="20"/>
          <w:szCs w:val="20"/>
          <w:highlight w:val="lightGray"/>
        </w:rPr>
        <w:t>Bank</w:t>
      </w:r>
      <w:r w:rsidR="00D71E0B">
        <w:rPr>
          <w:rFonts w:ascii="Arial" w:hAnsi="Arial" w:cs="Arial"/>
          <w:i/>
          <w:sz w:val="20"/>
          <w:szCs w:val="20"/>
          <w:highlight w:val="lightGray"/>
        </w:rPr>
        <w:t>, bewilligten (gemischten) Finanzholdinggesellschaft</w:t>
      </w:r>
      <w:r w:rsidR="00F83287">
        <w:rPr>
          <w:rFonts w:ascii="Arial" w:hAnsi="Arial" w:cs="Arial"/>
          <w:i/>
          <w:sz w:val="20"/>
          <w:szCs w:val="20"/>
          <w:highlight w:val="lightGray"/>
        </w:rPr>
        <w:t xml:space="preserve"> </w:t>
      </w:r>
      <w:r w:rsidR="00F83287" w:rsidRPr="00B36817">
        <w:rPr>
          <w:rFonts w:ascii="Arial" w:hAnsi="Arial" w:cs="Arial"/>
          <w:i/>
          <w:sz w:val="20"/>
          <w:szCs w:val="20"/>
          <w:highlight w:val="lightGray"/>
        </w:rPr>
        <w:t>bzw. Gruppe</w:t>
      </w:r>
      <w:r w:rsidR="00F83287" w:rsidDel="00F83287">
        <w:rPr>
          <w:rFonts w:ascii="Arial" w:hAnsi="Arial" w:cs="Arial"/>
          <w:i/>
          <w:sz w:val="20"/>
          <w:szCs w:val="20"/>
          <w:highlight w:val="lightGray"/>
        </w:rPr>
        <w:t xml:space="preserve"> </w:t>
      </w:r>
      <w:r>
        <w:rPr>
          <w:rFonts w:ascii="Arial" w:hAnsi="Arial" w:cs="Arial"/>
          <w:i/>
          <w:sz w:val="20"/>
          <w:szCs w:val="20"/>
          <w:highlight w:val="lightGray"/>
        </w:rPr>
        <w:t xml:space="preserve">bzw. an die Prüftiefe anzupassen. Werden die </w:t>
      </w:r>
      <w:r w:rsidR="00DD1307">
        <w:rPr>
          <w:rFonts w:ascii="Arial" w:hAnsi="Arial" w:cs="Arial"/>
          <w:i/>
          <w:sz w:val="20"/>
          <w:szCs w:val="20"/>
          <w:highlight w:val="lightGray"/>
        </w:rPr>
        <w:t>Mindestp</w:t>
      </w:r>
      <w:r>
        <w:rPr>
          <w:rFonts w:ascii="Arial" w:hAnsi="Arial" w:cs="Arial"/>
          <w:i/>
          <w:sz w:val="20"/>
          <w:szCs w:val="20"/>
          <w:highlight w:val="lightGray"/>
        </w:rPr>
        <w:t>rüfinhalte durch die durchgeführten Prüfungshandlungen nicht vollständig abgedeckt, ist im Bericht über die Aufsichtsprüfung darauf hinzuweisen</w:t>
      </w:r>
      <w:r w:rsidR="00227ADB">
        <w:rPr>
          <w:rFonts w:ascii="Arial" w:hAnsi="Arial" w:cs="Arial"/>
          <w:i/>
          <w:sz w:val="20"/>
          <w:szCs w:val="20"/>
          <w:highlight w:val="lightGray"/>
        </w:rPr>
        <w:t xml:space="preserve"> und zu begründen</w:t>
      </w:r>
      <w:r>
        <w:rPr>
          <w:rFonts w:ascii="Arial" w:hAnsi="Arial" w:cs="Arial"/>
          <w:i/>
          <w:sz w:val="20"/>
          <w:szCs w:val="20"/>
          <w:highlight w:val="lightGray"/>
        </w:rPr>
        <w:t xml:space="preserve">. </w:t>
      </w:r>
    </w:p>
    <w:p w14:paraId="6E27EB83" w14:textId="77777777" w:rsidR="002309A6" w:rsidRDefault="002309A6" w:rsidP="00515AB5">
      <w:pPr>
        <w:jc w:val="both"/>
        <w:rPr>
          <w:rFonts w:ascii="Arial" w:hAnsi="Arial" w:cs="Arial"/>
          <w:i/>
          <w:sz w:val="20"/>
          <w:szCs w:val="20"/>
          <w:highlight w:val="lightGray"/>
        </w:rPr>
      </w:pPr>
    </w:p>
    <w:p w14:paraId="0C82F987" w14:textId="77777777" w:rsidR="006819F9" w:rsidRDefault="006819F9">
      <w:pPr>
        <w:rPr>
          <w:rFonts w:ascii="Arial" w:hAnsi="Arial" w:cs="Arial"/>
          <w:sz w:val="20"/>
          <w:szCs w:val="22"/>
        </w:rPr>
      </w:pPr>
      <w:r>
        <w:br w:type="page"/>
      </w:r>
    </w:p>
    <w:p w14:paraId="17AB6A1D" w14:textId="77777777" w:rsidR="008C30D1" w:rsidRDefault="00D146EF" w:rsidP="006F7AB5">
      <w:pPr>
        <w:pStyle w:val="FINMAGliederungEbene2"/>
      </w:pPr>
      <w:bookmarkStart w:id="18" w:name="_Toc216425767"/>
      <w:r>
        <w:lastRenderedPageBreak/>
        <w:t>Geschäftsrisiken</w:t>
      </w:r>
      <w:bookmarkEnd w:id="18"/>
    </w:p>
    <w:p w14:paraId="2612AB9C" w14:textId="77777777" w:rsidR="00D146EF" w:rsidRPr="006067FE" w:rsidRDefault="00D146EF" w:rsidP="00D146EF">
      <w:pPr>
        <w:jc w:val="both"/>
      </w:pPr>
    </w:p>
    <w:p w14:paraId="354E47AE" w14:textId="77777777" w:rsidR="008C30D1" w:rsidRDefault="006067FE" w:rsidP="006F7AB5">
      <w:pPr>
        <w:pStyle w:val="FINMAGliederungEbene3"/>
      </w:pPr>
      <w:bookmarkStart w:id="19" w:name="_Toc216425768"/>
      <w:r w:rsidRPr="006067FE">
        <w:t>Kreditrisiken / Gegenparteiausfallrisiken aus Interbankgeschäften</w:t>
      </w:r>
      <w:r w:rsidR="00543DCA">
        <w:t xml:space="preserve"> (GR-1)</w:t>
      </w:r>
      <w:bookmarkEnd w:id="19"/>
    </w:p>
    <w:p w14:paraId="1720A70B" w14:textId="77777777" w:rsidR="008C30D1" w:rsidRDefault="008C30D1" w:rsidP="008C30D1">
      <w:pPr>
        <w:jc w:val="both"/>
      </w:pPr>
    </w:p>
    <w:tbl>
      <w:tblPr>
        <w:tblStyle w:val="Tabellenraster"/>
        <w:tblW w:w="0" w:type="auto"/>
        <w:tblLook w:val="04A0" w:firstRow="1" w:lastRow="0" w:firstColumn="1" w:lastColumn="0" w:noHBand="0" w:noVBand="1"/>
      </w:tblPr>
      <w:tblGrid>
        <w:gridCol w:w="1932"/>
        <w:gridCol w:w="2145"/>
        <w:gridCol w:w="1721"/>
        <w:gridCol w:w="3382"/>
      </w:tblGrid>
      <w:tr w:rsidR="009872F3" w:rsidRPr="009872F3" w14:paraId="0B98D3A1" w14:textId="77777777" w:rsidTr="009872F3">
        <w:trPr>
          <w:trHeight w:val="563"/>
        </w:trPr>
        <w:tc>
          <w:tcPr>
            <w:tcW w:w="1932" w:type="dxa"/>
          </w:tcPr>
          <w:p w14:paraId="5AB519C0"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Nettorisiko</w:t>
            </w:r>
          </w:p>
        </w:tc>
        <w:tc>
          <w:tcPr>
            <w:tcW w:w="2145" w:type="dxa"/>
          </w:tcPr>
          <w:p w14:paraId="70A9C2E6"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BA6DDD4" w14:textId="77777777" w:rsidR="009872F3" w:rsidRPr="009872F3" w:rsidRDefault="009872F3" w:rsidP="008C30D1">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872F3" w:rsidRPr="009872F3" w14:paraId="1B1D3C34" w14:textId="77777777" w:rsidTr="006749F0">
        <w:trPr>
          <w:trHeight w:val="698"/>
        </w:trPr>
        <w:tc>
          <w:tcPr>
            <w:tcW w:w="1932" w:type="dxa"/>
          </w:tcPr>
          <w:p w14:paraId="00FB7127" w14:textId="2C9CE3F3" w:rsidR="009872F3" w:rsidRPr="006749F0" w:rsidRDefault="009872F3" w:rsidP="00F60909">
            <w:pPr>
              <w:jc w:val="both"/>
              <w:rPr>
                <w:rFonts w:ascii="Arial" w:hAnsi="Arial" w:cs="Arial"/>
                <w:i/>
                <w:sz w:val="18"/>
                <w:szCs w:val="18"/>
                <w:highlight w:val="green"/>
              </w:rPr>
            </w:pPr>
            <w:r w:rsidRPr="006749F0">
              <w:rPr>
                <w:rFonts w:ascii="Arial" w:hAnsi="Arial" w:cs="Arial"/>
                <w:i/>
                <w:sz w:val="18"/>
                <w:szCs w:val="18"/>
                <w:highlight w:val="yellow"/>
              </w:rPr>
              <w:t>niedrig</w:t>
            </w:r>
            <w:r w:rsidR="00F60909">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9309858" w14:textId="77777777" w:rsidR="009872F3" w:rsidRPr="006749F0" w:rsidRDefault="009872F3" w:rsidP="008C30D1">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8514421" w14:textId="77777777" w:rsidR="009872F3" w:rsidRPr="009872F3" w:rsidRDefault="009872F3" w:rsidP="006749F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006749F0" w:rsidRPr="006749F0">
              <w:rPr>
                <w:rFonts w:ascii="Arial" w:hAnsi="Arial" w:cs="Arial"/>
                <w:i/>
                <w:sz w:val="18"/>
                <w:szCs w:val="18"/>
                <w:highlight w:val="yellow"/>
              </w:rPr>
              <w:t>Jahr</w:t>
            </w:r>
          </w:p>
        </w:tc>
        <w:tc>
          <w:tcPr>
            <w:tcW w:w="3382" w:type="dxa"/>
          </w:tcPr>
          <w:p w14:paraId="10AF9B54" w14:textId="77777777" w:rsidR="006749F0" w:rsidRDefault="009872F3" w:rsidP="006749F0">
            <w:pPr>
              <w:jc w:val="both"/>
              <w:rPr>
                <w:rFonts w:ascii="Arial" w:hAnsi="Arial" w:cs="Arial"/>
                <w:sz w:val="18"/>
                <w:szCs w:val="18"/>
                <w:highlight w:val="yellow"/>
              </w:rPr>
            </w:pPr>
            <w:r w:rsidRPr="009872F3">
              <w:rPr>
                <w:rFonts w:ascii="Arial" w:hAnsi="Arial" w:cs="Arial"/>
                <w:sz w:val="18"/>
                <w:szCs w:val="18"/>
              </w:rPr>
              <w:t>Kritische Beurteilung</w:t>
            </w:r>
            <w:r w:rsidR="006749F0">
              <w:rPr>
                <w:rFonts w:ascii="Arial" w:hAnsi="Arial" w:cs="Arial"/>
                <w:sz w:val="18"/>
                <w:szCs w:val="18"/>
              </w:rPr>
              <w:t>:</w:t>
            </w:r>
            <w:r w:rsidRPr="006749F0">
              <w:rPr>
                <w:rFonts w:ascii="Arial" w:hAnsi="Arial" w:cs="Arial"/>
                <w:sz w:val="18"/>
                <w:szCs w:val="18"/>
                <w:highlight w:val="yellow"/>
              </w:rPr>
              <w:t xml:space="preserve"> </w:t>
            </w:r>
          </w:p>
          <w:p w14:paraId="3BE6AA3A" w14:textId="77777777" w:rsidR="009872F3" w:rsidRPr="006749F0" w:rsidRDefault="009872F3" w:rsidP="006749F0">
            <w:pPr>
              <w:jc w:val="both"/>
              <w:rPr>
                <w:rFonts w:ascii="Arial" w:hAnsi="Arial" w:cs="Arial"/>
                <w:i/>
                <w:sz w:val="18"/>
                <w:szCs w:val="18"/>
              </w:rPr>
            </w:pPr>
            <w:r w:rsidRPr="006749F0">
              <w:rPr>
                <w:rFonts w:ascii="Arial" w:hAnsi="Arial" w:cs="Arial"/>
                <w:i/>
                <w:sz w:val="18"/>
                <w:szCs w:val="18"/>
                <w:highlight w:val="yellow"/>
              </w:rPr>
              <w:t>Jahr</w:t>
            </w:r>
          </w:p>
        </w:tc>
      </w:tr>
      <w:tr w:rsidR="009872F3" w:rsidRPr="009872F3" w14:paraId="5A40FC93" w14:textId="77777777" w:rsidTr="006749F0">
        <w:trPr>
          <w:trHeight w:val="636"/>
        </w:trPr>
        <w:tc>
          <w:tcPr>
            <w:tcW w:w="9180" w:type="dxa"/>
            <w:gridSpan w:val="4"/>
          </w:tcPr>
          <w:p w14:paraId="4B9B5528" w14:textId="77777777" w:rsidR="006749F0" w:rsidRDefault="006749F0" w:rsidP="008C30D1">
            <w:pPr>
              <w:jc w:val="both"/>
              <w:rPr>
                <w:rFonts w:ascii="Arial" w:hAnsi="Arial" w:cs="Arial"/>
                <w:sz w:val="18"/>
                <w:szCs w:val="18"/>
              </w:rPr>
            </w:pPr>
          </w:p>
          <w:p w14:paraId="211EB733" w14:textId="77777777" w:rsidR="006749F0" w:rsidRPr="00F60909" w:rsidRDefault="009872F3" w:rsidP="008C30D1">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0B63CA3" w14:textId="60CC62EF" w:rsidR="009872F3" w:rsidRPr="009872F3" w:rsidRDefault="009872F3" w:rsidP="008C30D1">
            <w:pPr>
              <w:jc w:val="both"/>
              <w:rPr>
                <w:rFonts w:ascii="Arial" w:hAnsi="Arial" w:cs="Arial"/>
                <w:sz w:val="18"/>
                <w:szCs w:val="18"/>
              </w:rPr>
            </w:pPr>
            <w:r w:rsidRPr="00AC3F58">
              <w:rPr>
                <w:rFonts w:ascii="Arial" w:hAnsi="Arial" w:cs="Arial"/>
                <w:sz w:val="18"/>
                <w:szCs w:val="18"/>
                <w:highlight w:val="yellow"/>
              </w:rPr>
              <w:t>Art. 7</w:t>
            </w:r>
            <w:r w:rsidR="00AC3F58" w:rsidRPr="00AC3F58">
              <w:rPr>
                <w:rFonts w:ascii="Arial" w:hAnsi="Arial" w:cs="Arial"/>
                <w:sz w:val="18"/>
                <w:szCs w:val="18"/>
                <w:highlight w:val="yellow"/>
              </w:rPr>
              <w:t>9</w:t>
            </w:r>
            <w:r w:rsidRPr="00AC3F58">
              <w:rPr>
                <w:rFonts w:ascii="Arial" w:hAnsi="Arial" w:cs="Arial"/>
                <w:sz w:val="18"/>
                <w:szCs w:val="18"/>
                <w:highlight w:val="yellow"/>
              </w:rPr>
              <w:t xml:space="preserve"> BankG; Art. </w:t>
            </w:r>
            <w:r w:rsidR="00AC3F58" w:rsidRPr="00AC3F58">
              <w:rPr>
                <w:rFonts w:ascii="Arial" w:hAnsi="Arial" w:cs="Arial"/>
                <w:sz w:val="18"/>
                <w:szCs w:val="18"/>
                <w:highlight w:val="yellow"/>
              </w:rPr>
              <w:t>16</w:t>
            </w:r>
            <w:r w:rsidRPr="00AC3F58">
              <w:rPr>
                <w:rFonts w:ascii="Arial" w:hAnsi="Arial" w:cs="Arial"/>
                <w:sz w:val="18"/>
                <w:szCs w:val="18"/>
                <w:highlight w:val="yellow"/>
              </w:rPr>
              <w:t xml:space="preserve"> BankV; </w:t>
            </w:r>
            <w:r w:rsidR="00AC3F58" w:rsidRPr="00AC3F58">
              <w:rPr>
                <w:rFonts w:ascii="Arial" w:hAnsi="Arial" w:cs="Arial"/>
                <w:sz w:val="18"/>
                <w:szCs w:val="18"/>
                <w:highlight w:val="yellow"/>
              </w:rPr>
              <w:t xml:space="preserve">Art. </w:t>
            </w:r>
            <w:r w:rsidR="00AC3F58" w:rsidRPr="00A938AE">
              <w:rPr>
                <w:rFonts w:ascii="Arial" w:hAnsi="Arial" w:cs="Arial"/>
                <w:sz w:val="18"/>
                <w:szCs w:val="18"/>
                <w:highlight w:val="yellow"/>
              </w:rPr>
              <w:t xml:space="preserve">17 BankV, </w:t>
            </w:r>
            <w:r w:rsidR="0021306E">
              <w:rPr>
                <w:rFonts w:ascii="Arial" w:hAnsi="Arial" w:cs="Arial"/>
                <w:sz w:val="18"/>
                <w:szCs w:val="18"/>
                <w:highlight w:val="yellow"/>
              </w:rPr>
              <w:t xml:space="preserve">Art. 10-11 BankV, </w:t>
            </w:r>
            <w:r w:rsidRPr="00F60909">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9872F3" w:rsidRPr="009872F3" w14:paraId="00EBC1AC" w14:textId="77777777" w:rsidTr="006749F0">
        <w:trPr>
          <w:trHeight w:val="294"/>
        </w:trPr>
        <w:tc>
          <w:tcPr>
            <w:tcW w:w="9180" w:type="dxa"/>
            <w:gridSpan w:val="4"/>
          </w:tcPr>
          <w:p w14:paraId="0A26788F" w14:textId="77777777" w:rsidR="009872F3" w:rsidRPr="009872F3" w:rsidRDefault="009872F3" w:rsidP="008C30D1">
            <w:pPr>
              <w:jc w:val="both"/>
              <w:rPr>
                <w:rFonts w:ascii="Arial" w:hAnsi="Arial" w:cs="Arial"/>
                <w:sz w:val="18"/>
                <w:szCs w:val="18"/>
              </w:rPr>
            </w:pPr>
          </w:p>
        </w:tc>
      </w:tr>
      <w:tr w:rsidR="009872F3" w:rsidRPr="009872F3" w14:paraId="5F4684A5" w14:textId="77777777" w:rsidTr="006A378B">
        <w:tc>
          <w:tcPr>
            <w:tcW w:w="5798" w:type="dxa"/>
            <w:gridSpan w:val="3"/>
          </w:tcPr>
          <w:p w14:paraId="6F718E0B" w14:textId="77777777" w:rsidR="009872F3" w:rsidRPr="00C1307E" w:rsidRDefault="009872F3" w:rsidP="009906F0">
            <w:pPr>
              <w:jc w:val="both"/>
              <w:rPr>
                <w:rFonts w:ascii="Arial" w:hAnsi="Arial" w:cs="Arial"/>
                <w:sz w:val="18"/>
                <w:szCs w:val="18"/>
              </w:rPr>
            </w:pPr>
            <w:r w:rsidRPr="00C1307E">
              <w:rPr>
                <w:rFonts w:ascii="Arial" w:hAnsi="Arial" w:cs="Arial"/>
                <w:sz w:val="18"/>
                <w:szCs w:val="18"/>
              </w:rPr>
              <w:t xml:space="preserve">Bestätigung, dass die interne Organisation </w:t>
            </w:r>
            <w:r w:rsidR="00511890">
              <w:rPr>
                <w:rFonts w:ascii="Arial" w:hAnsi="Arial" w:cs="Arial"/>
                <w:sz w:val="18"/>
                <w:szCs w:val="18"/>
              </w:rPr>
              <w:t xml:space="preserve">(Organisationsstruktur, Verantwortlichkeiten und Kompetenzen, Internes Weisungswesen, Ressourcen, Know-How, Interessenskonflikte) </w:t>
            </w:r>
            <w:r w:rsidR="009906F0" w:rsidRPr="00C1307E">
              <w:rPr>
                <w:rFonts w:ascii="Arial" w:hAnsi="Arial" w:cs="Arial"/>
                <w:sz w:val="18"/>
                <w:szCs w:val="18"/>
              </w:rPr>
              <w:t>für das Management von Kreditrisiken / Gegenparteiausfallrisiken aus Interbankgeschäften angemessen ausgestaltet ist.</w:t>
            </w:r>
          </w:p>
        </w:tc>
        <w:tc>
          <w:tcPr>
            <w:tcW w:w="3382" w:type="dxa"/>
          </w:tcPr>
          <w:p w14:paraId="72631C6D" w14:textId="77777777" w:rsidR="009872F3" w:rsidRPr="00E109DF" w:rsidRDefault="00E109DF" w:rsidP="0071465F">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749F0" w:rsidRPr="009872F3" w14:paraId="4B873E33" w14:textId="77777777" w:rsidTr="006A378B">
        <w:tc>
          <w:tcPr>
            <w:tcW w:w="5798" w:type="dxa"/>
            <w:gridSpan w:val="3"/>
          </w:tcPr>
          <w:p w14:paraId="2F5BA24E" w14:textId="77777777" w:rsidR="006749F0" w:rsidRPr="00C1307E" w:rsidRDefault="006749F0" w:rsidP="009906F0">
            <w:pPr>
              <w:jc w:val="both"/>
              <w:rPr>
                <w:rFonts w:ascii="Arial" w:hAnsi="Arial" w:cs="Arial"/>
                <w:sz w:val="18"/>
                <w:szCs w:val="18"/>
              </w:rPr>
            </w:pPr>
            <w:r w:rsidRPr="00C1307E">
              <w:rPr>
                <w:rFonts w:ascii="Arial" w:hAnsi="Arial" w:cs="Arial"/>
                <w:sz w:val="18"/>
                <w:szCs w:val="18"/>
              </w:rPr>
              <w:t>Bestätigung, dass das Interne Kontrollsystem</w:t>
            </w:r>
            <w:r w:rsidR="009906F0" w:rsidRPr="00C1307E">
              <w:rPr>
                <w:rFonts w:ascii="Arial" w:hAnsi="Arial" w:cs="Arial"/>
                <w:sz w:val="18"/>
                <w:szCs w:val="18"/>
              </w:rPr>
              <w:t xml:space="preserve"> für das Management von Kreditrisiken / Gegenparteiausfallrisiken aus Interbankgeschäften angemes</w:t>
            </w:r>
            <w:r w:rsidR="00C1307E">
              <w:rPr>
                <w:rFonts w:ascii="Arial" w:hAnsi="Arial" w:cs="Arial"/>
                <w:sz w:val="18"/>
                <w:szCs w:val="18"/>
              </w:rPr>
              <w:t>sen</w:t>
            </w:r>
            <w:r w:rsidR="009906F0" w:rsidRPr="00C1307E">
              <w:rPr>
                <w:rFonts w:ascii="Arial" w:hAnsi="Arial" w:cs="Arial"/>
                <w:sz w:val="18"/>
                <w:szCs w:val="18"/>
              </w:rPr>
              <w:t xml:space="preserve"> ist</w:t>
            </w:r>
            <w:r w:rsidR="00C1307E">
              <w:rPr>
                <w:rFonts w:ascii="Arial" w:hAnsi="Arial" w:cs="Arial"/>
                <w:sz w:val="18"/>
                <w:szCs w:val="18"/>
              </w:rPr>
              <w:t xml:space="preserve"> und im Falle der Prüftiefe Detailprüfung effektiv angewendet wurden.</w:t>
            </w:r>
          </w:p>
        </w:tc>
        <w:tc>
          <w:tcPr>
            <w:tcW w:w="3382" w:type="dxa"/>
          </w:tcPr>
          <w:p w14:paraId="696E678B" w14:textId="77777777" w:rsidR="006749F0" w:rsidRPr="009872F3" w:rsidRDefault="00E109DF" w:rsidP="008C30D1">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749F0" w:rsidRPr="009872F3" w14:paraId="1C280E0B" w14:textId="77777777" w:rsidTr="006A378B">
        <w:tc>
          <w:tcPr>
            <w:tcW w:w="5798" w:type="dxa"/>
            <w:gridSpan w:val="3"/>
          </w:tcPr>
          <w:p w14:paraId="1E6A0A4A" w14:textId="77777777" w:rsidR="006749F0" w:rsidRPr="00C1307E" w:rsidRDefault="006749F0" w:rsidP="008C30D1">
            <w:pPr>
              <w:jc w:val="both"/>
              <w:rPr>
                <w:rFonts w:ascii="Arial" w:hAnsi="Arial" w:cs="Arial"/>
                <w:sz w:val="18"/>
                <w:szCs w:val="18"/>
              </w:rPr>
            </w:pPr>
            <w:r w:rsidRPr="00C1307E">
              <w:rPr>
                <w:rFonts w:ascii="Arial" w:hAnsi="Arial" w:cs="Arial"/>
                <w:sz w:val="18"/>
                <w:szCs w:val="18"/>
              </w:rPr>
              <w:t>Bestätigung, dass</w:t>
            </w:r>
            <w:r w:rsidR="009906F0" w:rsidRPr="00C1307E">
              <w:rPr>
                <w:rFonts w:ascii="Arial" w:hAnsi="Arial" w:cs="Arial"/>
                <w:sz w:val="18"/>
                <w:szCs w:val="18"/>
              </w:rPr>
              <w:t xml:space="preserve"> die Methoden zur Identifikation, Bewertung, Messung, Begrenzung, Überwachung und Steuerung von Kreditrisiken</w:t>
            </w:r>
            <w:r w:rsidR="004F6D55">
              <w:rPr>
                <w:rFonts w:ascii="Arial" w:hAnsi="Arial" w:cs="Arial"/>
                <w:sz w:val="18"/>
                <w:szCs w:val="18"/>
              </w:rPr>
              <w:t xml:space="preserve"> / Gegenparteiausfallrisiken</w:t>
            </w:r>
            <w:r w:rsidR="009906F0" w:rsidRPr="00C1307E">
              <w:rPr>
                <w:rFonts w:ascii="Arial" w:hAnsi="Arial" w:cs="Arial"/>
                <w:sz w:val="18"/>
                <w:szCs w:val="18"/>
              </w:rPr>
              <w:t xml:space="preserve"> aus Interbankgeschäften angemessen sind</w:t>
            </w:r>
            <w:r w:rsidR="00C1307E">
              <w:rPr>
                <w:rFonts w:ascii="Arial" w:hAnsi="Arial" w:cs="Arial"/>
                <w:sz w:val="18"/>
                <w:szCs w:val="18"/>
              </w:rPr>
              <w:t xml:space="preserve"> und im Falle der Prüftiefe Detailprüfung effektiv angewendet wurden</w:t>
            </w:r>
            <w:r w:rsidR="009906F0" w:rsidRPr="00C1307E">
              <w:rPr>
                <w:rFonts w:ascii="Arial" w:hAnsi="Arial" w:cs="Arial"/>
                <w:sz w:val="18"/>
                <w:szCs w:val="18"/>
              </w:rPr>
              <w:t xml:space="preserve">. </w:t>
            </w:r>
          </w:p>
        </w:tc>
        <w:tc>
          <w:tcPr>
            <w:tcW w:w="3382" w:type="dxa"/>
          </w:tcPr>
          <w:p w14:paraId="6519719A" w14:textId="77777777" w:rsidR="006749F0" w:rsidRPr="009872F3" w:rsidRDefault="00E109DF" w:rsidP="008C30D1">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7AF8174" w14:textId="77777777" w:rsidR="002746A3" w:rsidRDefault="002746A3" w:rsidP="008C30D1">
      <w:pPr>
        <w:jc w:val="both"/>
      </w:pPr>
    </w:p>
    <w:p w14:paraId="33062797" w14:textId="77777777" w:rsidR="006749F0" w:rsidRPr="00CE3194" w:rsidRDefault="006749F0" w:rsidP="008C30D1">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E3194" w:rsidRPr="00CE3194" w14:paraId="76D1E80A" w14:textId="77777777" w:rsidTr="00CE3194">
        <w:tc>
          <w:tcPr>
            <w:tcW w:w="2660" w:type="dxa"/>
          </w:tcPr>
          <w:p w14:paraId="0E29ADA4" w14:textId="77777777" w:rsidR="00CE3194" w:rsidRPr="00CE3194" w:rsidRDefault="00CE3194" w:rsidP="008C30D1">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FF721A0" w14:textId="77777777" w:rsidR="00CE3194" w:rsidRPr="00CE3194" w:rsidRDefault="007458BE" w:rsidP="007458BE">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00CE3194" w:rsidRPr="00CE3194">
              <w:rPr>
                <w:rFonts w:ascii="Arial" w:hAnsi="Arial" w:cs="Arial"/>
                <w:b/>
                <w:i/>
                <w:sz w:val="20"/>
                <w:szCs w:val="20"/>
                <w:highlight w:val="lightGray"/>
              </w:rPr>
              <w:t>rüfinhalte</w:t>
            </w:r>
          </w:p>
        </w:tc>
      </w:tr>
      <w:tr w:rsidR="00CE3194" w:rsidRPr="00CE3194" w14:paraId="44DA9D91" w14:textId="77777777" w:rsidTr="00CE3194">
        <w:tc>
          <w:tcPr>
            <w:tcW w:w="2660" w:type="dxa"/>
          </w:tcPr>
          <w:p w14:paraId="6DBFBDA4" w14:textId="77777777" w:rsidR="00511890" w:rsidRDefault="00CE3194" w:rsidP="008C30D1">
            <w:pPr>
              <w:jc w:val="both"/>
              <w:rPr>
                <w:rFonts w:ascii="Arial" w:hAnsi="Arial" w:cs="Arial"/>
                <w:i/>
                <w:sz w:val="20"/>
                <w:szCs w:val="20"/>
                <w:highlight w:val="lightGray"/>
              </w:rPr>
            </w:pPr>
            <w:r w:rsidRPr="00511890">
              <w:rPr>
                <w:rFonts w:ascii="Arial" w:hAnsi="Arial" w:cs="Arial"/>
                <w:i/>
                <w:sz w:val="20"/>
                <w:szCs w:val="20"/>
                <w:highlight w:val="lightGray"/>
              </w:rPr>
              <w:t>Interne Organisation</w:t>
            </w:r>
            <w:r w:rsidR="00511890" w:rsidRPr="00511890">
              <w:rPr>
                <w:rFonts w:ascii="Arial" w:hAnsi="Arial" w:cs="Arial"/>
                <w:i/>
                <w:sz w:val="20"/>
                <w:szCs w:val="20"/>
                <w:highlight w:val="lightGray"/>
              </w:rPr>
              <w:t xml:space="preserve"> </w:t>
            </w:r>
          </w:p>
          <w:p w14:paraId="6FDB4013" w14:textId="77777777" w:rsidR="00511890" w:rsidRDefault="00511890" w:rsidP="008C30D1">
            <w:pPr>
              <w:jc w:val="both"/>
              <w:rPr>
                <w:rFonts w:ascii="Arial" w:hAnsi="Arial" w:cs="Arial"/>
                <w:i/>
                <w:sz w:val="20"/>
                <w:szCs w:val="20"/>
                <w:highlight w:val="lightGray"/>
              </w:rPr>
            </w:pPr>
          </w:p>
          <w:p w14:paraId="493610B6" w14:textId="77777777" w:rsidR="00CE3194" w:rsidRPr="00511890" w:rsidRDefault="00511890" w:rsidP="008C30D1">
            <w:pPr>
              <w:jc w:val="both"/>
              <w:rPr>
                <w:rFonts w:ascii="Arial" w:hAnsi="Arial" w:cs="Arial"/>
                <w:i/>
                <w:sz w:val="20"/>
                <w:szCs w:val="20"/>
                <w:highlight w:val="lightGray"/>
              </w:rPr>
            </w:pPr>
            <w:r w:rsidRPr="00CB3EE6">
              <w:rPr>
                <w:rFonts w:ascii="Arial" w:hAnsi="Arial" w:cs="Arial"/>
                <w:i/>
                <w:sz w:val="20"/>
                <w:szCs w:val="20"/>
                <w:highlight w:val="lightGray"/>
              </w:rPr>
              <w:t>(Organisationsstruktur, Verantwortlichkeiten und Kompetenzen, Internes Weisungswesen, Ressourcen</w:t>
            </w:r>
            <w:r w:rsidR="0050402B">
              <w:rPr>
                <w:rFonts w:ascii="Arial" w:hAnsi="Arial" w:cs="Arial"/>
                <w:i/>
                <w:sz w:val="20"/>
                <w:szCs w:val="20"/>
                <w:highlight w:val="lightGray"/>
              </w:rPr>
              <w:t xml:space="preserve"> (personell und technisch)</w:t>
            </w:r>
            <w:r w:rsidRPr="00CB3EE6">
              <w:rPr>
                <w:rFonts w:ascii="Arial" w:hAnsi="Arial" w:cs="Arial"/>
                <w:i/>
                <w:sz w:val="20"/>
                <w:szCs w:val="20"/>
                <w:highlight w:val="lightGray"/>
              </w:rPr>
              <w:t>, Know-How, Interessenskonflikte)</w:t>
            </w:r>
          </w:p>
        </w:tc>
        <w:tc>
          <w:tcPr>
            <w:tcW w:w="6520" w:type="dxa"/>
          </w:tcPr>
          <w:p w14:paraId="3A2C010A"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530BE31"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9FD244E" w14:textId="19DBDEA0"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Verantwortlichkeiten und Kompetenzen sind klar</w:t>
            </w:r>
            <w:r w:rsidR="007D341F">
              <w:rPr>
                <w:rFonts w:cs="Arial"/>
                <w:i/>
                <w:szCs w:val="20"/>
                <w:highlight w:val="lightGray"/>
              </w:rPr>
              <w:t xml:space="preserve"> und angemessen</w:t>
            </w:r>
            <w:r w:rsidRPr="00CE3194">
              <w:rPr>
                <w:rFonts w:cs="Arial"/>
                <w:i/>
                <w:szCs w:val="20"/>
                <w:highlight w:val="lightGray"/>
              </w:rPr>
              <w:t xml:space="preserve"> geregelt;</w:t>
            </w:r>
          </w:p>
          <w:p w14:paraId="7F66C19D"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241E98DA"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CE3194" w:rsidRPr="00CE3194" w14:paraId="5005822E" w14:textId="77777777" w:rsidTr="00CE3194">
        <w:tc>
          <w:tcPr>
            <w:tcW w:w="2660" w:type="dxa"/>
          </w:tcPr>
          <w:p w14:paraId="11DB8A43" w14:textId="77777777" w:rsidR="00CE3194" w:rsidRDefault="00CE3194" w:rsidP="008C30D1">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E53E3DD" w14:textId="77777777" w:rsidR="0050402B" w:rsidRPr="00CE3194" w:rsidRDefault="0050402B" w:rsidP="008C30D1">
            <w:pPr>
              <w:jc w:val="both"/>
              <w:rPr>
                <w:rFonts w:ascii="Arial" w:hAnsi="Arial" w:cs="Arial"/>
                <w:i/>
                <w:sz w:val="20"/>
                <w:szCs w:val="20"/>
                <w:highlight w:val="lightGray"/>
              </w:rPr>
            </w:pPr>
          </w:p>
        </w:tc>
        <w:tc>
          <w:tcPr>
            <w:tcW w:w="6520" w:type="dxa"/>
          </w:tcPr>
          <w:p w14:paraId="63595F9D" w14:textId="1BFC4929"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sidR="0067062C">
              <w:rPr>
                <w:rFonts w:cs="Arial"/>
                <w:i/>
                <w:szCs w:val="20"/>
                <w:highlight w:val="lightGray"/>
              </w:rPr>
              <w:t xml:space="preserve">r Bank bzw. </w:t>
            </w:r>
            <w:r w:rsidRPr="00CE3194">
              <w:rPr>
                <w:rFonts w:cs="Arial"/>
                <w:i/>
                <w:szCs w:val="20"/>
                <w:highlight w:val="lightGray"/>
              </w:rPr>
              <w:t>der Gruppe;</w:t>
            </w:r>
          </w:p>
          <w:p w14:paraId="76B5EB10" w14:textId="22F85241" w:rsidR="00CE3194" w:rsidRPr="00CE3194" w:rsidRDefault="00CE3194" w:rsidP="00CE3194">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Die internen Verfahren sehen die Anwendung des 4-Augen-Prinzips</w:t>
            </w:r>
            <w:r w:rsidR="00546003">
              <w:rPr>
                <w:rFonts w:cs="Arial"/>
                <w:i/>
                <w:szCs w:val="20"/>
                <w:highlight w:val="lightGray"/>
              </w:rPr>
              <w:t xml:space="preserve"> 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C07CDA2" w14:textId="2B784EF2"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007D341F" w:rsidRPr="00CE3194">
              <w:rPr>
                <w:rFonts w:cs="Arial"/>
                <w:i/>
                <w:szCs w:val="20"/>
                <w:highlight w:val="lightGray"/>
              </w:rPr>
              <w:t xml:space="preserve"> </w:t>
            </w:r>
            <w:r w:rsidRPr="00CE3194">
              <w:rPr>
                <w:rFonts w:cs="Arial"/>
                <w:i/>
                <w:szCs w:val="20"/>
                <w:highlight w:val="lightGray"/>
              </w:rPr>
              <w:t>ein angemessenes Dokumentations- und Archivierungswesen;</w:t>
            </w:r>
          </w:p>
          <w:p w14:paraId="12688D68"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E3194" w14:paraId="05868DE7" w14:textId="77777777" w:rsidTr="00CE3194">
        <w:tc>
          <w:tcPr>
            <w:tcW w:w="2660" w:type="dxa"/>
          </w:tcPr>
          <w:p w14:paraId="7E600FC6" w14:textId="77777777" w:rsidR="00CE3194" w:rsidRDefault="00CE3194" w:rsidP="008C30D1">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64A22CE" w14:textId="3F4162D8"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sidR="004C7DB3">
              <w:rPr>
                <w:rFonts w:cs="Arial"/>
                <w:i/>
                <w:szCs w:val="20"/>
                <w:highlight w:val="lightGray"/>
              </w:rPr>
              <w:t>, überwacht</w:t>
            </w:r>
            <w:r w:rsidRPr="00CE3194">
              <w:rPr>
                <w:rFonts w:cs="Arial"/>
                <w:i/>
                <w:szCs w:val="20"/>
                <w:highlight w:val="lightGray"/>
              </w:rPr>
              <w:t xml:space="preserve"> und gesteuert;</w:t>
            </w:r>
            <w:r w:rsidR="009E273B">
              <w:rPr>
                <w:rFonts w:cs="Arial"/>
                <w:i/>
                <w:szCs w:val="20"/>
                <w:highlight w:val="lightGray"/>
              </w:rPr>
              <w:t xml:space="preserve"> </w:t>
            </w:r>
          </w:p>
          <w:p w14:paraId="252606B0"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EDB5D36"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93C134" w14:textId="77777777" w:rsidR="00CE3194" w:rsidRPr="00CE3194" w:rsidRDefault="00CE3194" w:rsidP="00CE3194">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Risiken werden transparent und angemessen quantifiziert;</w:t>
            </w:r>
          </w:p>
          <w:p w14:paraId="18FBF3EF" w14:textId="77777777" w:rsidR="00CE3194" w:rsidRPr="005B66F8" w:rsidRDefault="00CE3194" w:rsidP="00CE3194">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F67A089" w14:textId="388F77AC" w:rsidR="004A63C0" w:rsidRDefault="00916839" w:rsidP="00932B97">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Bank</w:t>
            </w:r>
            <w:r w:rsidR="00EA5362">
              <w:rPr>
                <w:rFonts w:cs="Arial"/>
                <w:i/>
                <w:szCs w:val="20"/>
                <w:highlight w:val="lightGray"/>
              </w:rPr>
              <w:t xml:space="preserve"> bzw. der Gruppe</w:t>
            </w:r>
            <w:r w:rsidRPr="00055C14">
              <w:rPr>
                <w:rFonts w:cs="Arial"/>
                <w:i/>
                <w:szCs w:val="20"/>
                <w:highlight w:val="lightGray"/>
              </w:rPr>
              <w:t xml:space="preserve"> mit ein</w:t>
            </w:r>
          </w:p>
        </w:tc>
      </w:tr>
    </w:tbl>
    <w:p w14:paraId="15FE859A" w14:textId="77777777" w:rsidR="00E70DF4" w:rsidRDefault="00E70DF4" w:rsidP="008C30D1">
      <w:pPr>
        <w:jc w:val="both"/>
        <w:rPr>
          <w:rFonts w:ascii="Arial" w:hAnsi="Arial" w:cs="Arial"/>
          <w:i/>
          <w:sz w:val="20"/>
          <w:szCs w:val="20"/>
        </w:rPr>
      </w:pPr>
    </w:p>
    <w:p w14:paraId="60581EA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F9C4E2C" w14:textId="77777777" w:rsidR="00F60909" w:rsidRDefault="00F60909" w:rsidP="008C30D1">
      <w:pPr>
        <w:jc w:val="both"/>
      </w:pPr>
    </w:p>
    <w:p w14:paraId="1A6FCA99" w14:textId="77777777" w:rsidR="008C30D1" w:rsidRPr="006067FE" w:rsidRDefault="008C30D1" w:rsidP="008C30D1">
      <w:pPr>
        <w:jc w:val="both"/>
      </w:pPr>
    </w:p>
    <w:p w14:paraId="4DBC168A" w14:textId="77777777" w:rsidR="006067FE" w:rsidRDefault="006067FE" w:rsidP="006F7AB5">
      <w:pPr>
        <w:pStyle w:val="FINMAGliederungEbene3"/>
      </w:pPr>
      <w:bookmarkStart w:id="20" w:name="_Toc216425769"/>
      <w:r w:rsidRPr="006067FE">
        <w:t>Kreditrisiken / Gegenparteiausfallrisiken aus Hypothekargeschäften</w:t>
      </w:r>
      <w:r w:rsidR="00543DCA">
        <w:t xml:space="preserve"> (GR-2)</w:t>
      </w:r>
      <w:bookmarkEnd w:id="20"/>
    </w:p>
    <w:p w14:paraId="43B9867F"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51B7C191" w14:textId="77777777" w:rsidTr="00A828FA">
        <w:trPr>
          <w:trHeight w:val="563"/>
        </w:trPr>
        <w:tc>
          <w:tcPr>
            <w:tcW w:w="1932" w:type="dxa"/>
          </w:tcPr>
          <w:p w14:paraId="3F69923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501B779D"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8C892E2"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5B260815" w14:textId="77777777" w:rsidTr="00A828FA">
        <w:trPr>
          <w:trHeight w:val="698"/>
        </w:trPr>
        <w:tc>
          <w:tcPr>
            <w:tcW w:w="1932" w:type="dxa"/>
          </w:tcPr>
          <w:p w14:paraId="1189ACDF" w14:textId="19E1BDF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9B9AEA4"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36DBC4C"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DD669B"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FB62E97"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4DF9DA52" w14:textId="77777777" w:rsidTr="00A828FA">
        <w:trPr>
          <w:trHeight w:val="636"/>
        </w:trPr>
        <w:tc>
          <w:tcPr>
            <w:tcW w:w="9180" w:type="dxa"/>
            <w:gridSpan w:val="4"/>
          </w:tcPr>
          <w:p w14:paraId="5D10F46E" w14:textId="77777777" w:rsidR="004F6D55" w:rsidRDefault="004F6D55" w:rsidP="00A828FA">
            <w:pPr>
              <w:jc w:val="both"/>
              <w:rPr>
                <w:rFonts w:ascii="Arial" w:hAnsi="Arial" w:cs="Arial"/>
                <w:sz w:val="18"/>
                <w:szCs w:val="18"/>
              </w:rPr>
            </w:pPr>
          </w:p>
          <w:p w14:paraId="6E7E01E4"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31B712D" w14:textId="14F24CFD" w:rsidR="004F6D55" w:rsidRPr="009E4FE7" w:rsidRDefault="00AC3F58" w:rsidP="00A828FA">
            <w:pPr>
              <w:jc w:val="both"/>
              <w:rPr>
                <w:rFonts w:ascii="Arial" w:hAnsi="Arial" w:cs="Arial"/>
                <w:sz w:val="18"/>
                <w:szCs w:val="18"/>
                <w:highlight w:val="yellow"/>
              </w:rPr>
            </w:pPr>
            <w:r w:rsidRPr="009E4FE7">
              <w:rPr>
                <w:rFonts w:ascii="Arial" w:hAnsi="Arial" w:cs="Arial"/>
                <w:sz w:val="18"/>
                <w:szCs w:val="18"/>
                <w:highlight w:val="yellow"/>
              </w:rPr>
              <w:t xml:space="preserve">Art. 79 BankG; Art. 16 BankV; Art. 17 BankV, Art. 26 - 31 BankV, </w:t>
            </w:r>
            <w:r w:rsidR="0021306E" w:rsidRPr="009E4FE7">
              <w:rPr>
                <w:rFonts w:ascii="Arial" w:hAnsi="Arial" w:cs="Arial"/>
                <w:sz w:val="18"/>
                <w:szCs w:val="18"/>
                <w:highlight w:val="yellow"/>
              </w:rPr>
              <w:t xml:space="preserve">Art. 10-11 BankV, </w:t>
            </w:r>
            <w:r w:rsidR="003D18A4" w:rsidRPr="009E4FE7">
              <w:rPr>
                <w:rFonts w:ascii="Arial" w:hAnsi="Arial" w:cs="Arial"/>
                <w:sz w:val="18"/>
                <w:szCs w:val="18"/>
                <w:highlight w:val="yellow"/>
              </w:rPr>
              <w:t>EBA/GL/2020/06</w:t>
            </w:r>
            <w:r w:rsidRPr="009E4FE7">
              <w:rPr>
                <w:rFonts w:ascii="Arial" w:hAnsi="Arial" w:cs="Arial"/>
                <w:sz w:val="18"/>
                <w:szCs w:val="18"/>
                <w:highlight w:val="yellow"/>
              </w:rPr>
              <w:t>, EBA/GL/2016/07, EBA/GL/2018/06</w:t>
            </w:r>
          </w:p>
          <w:p w14:paraId="7ED1B42B" w14:textId="07A7E8F6"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4F6D55" w:rsidRPr="009872F3" w14:paraId="01CAE7DB" w14:textId="77777777" w:rsidTr="00A828FA">
        <w:trPr>
          <w:trHeight w:val="294"/>
        </w:trPr>
        <w:tc>
          <w:tcPr>
            <w:tcW w:w="9180" w:type="dxa"/>
            <w:gridSpan w:val="4"/>
          </w:tcPr>
          <w:p w14:paraId="053949A5" w14:textId="77777777" w:rsidR="004F6D55" w:rsidRPr="009872F3" w:rsidRDefault="004F6D55" w:rsidP="00A828FA">
            <w:pPr>
              <w:jc w:val="both"/>
              <w:rPr>
                <w:rFonts w:ascii="Arial" w:hAnsi="Arial" w:cs="Arial"/>
                <w:sz w:val="18"/>
                <w:szCs w:val="18"/>
              </w:rPr>
            </w:pPr>
          </w:p>
        </w:tc>
      </w:tr>
      <w:tr w:rsidR="004F6D55" w:rsidRPr="009872F3" w14:paraId="6DB07A1A" w14:textId="77777777" w:rsidTr="00A828FA">
        <w:tc>
          <w:tcPr>
            <w:tcW w:w="5798" w:type="dxa"/>
            <w:gridSpan w:val="3"/>
          </w:tcPr>
          <w:p w14:paraId="602D76C7"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Pr>
                <w:rFonts w:ascii="Arial" w:hAnsi="Arial" w:cs="Arial"/>
                <w:sz w:val="18"/>
                <w:szCs w:val="18"/>
              </w:rPr>
              <w:t>Hypothekar</w:t>
            </w:r>
            <w:r w:rsidRPr="00C1307E">
              <w:rPr>
                <w:rFonts w:ascii="Arial" w:hAnsi="Arial" w:cs="Arial"/>
                <w:sz w:val="18"/>
                <w:szCs w:val="18"/>
              </w:rPr>
              <w:t>geschäften angemessen ausgestaltet ist.</w:t>
            </w:r>
          </w:p>
        </w:tc>
        <w:tc>
          <w:tcPr>
            <w:tcW w:w="3382" w:type="dxa"/>
          </w:tcPr>
          <w:p w14:paraId="4B328F4E"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1D4BDD0A" w14:textId="77777777" w:rsidTr="00A828FA">
        <w:tc>
          <w:tcPr>
            <w:tcW w:w="5798" w:type="dxa"/>
            <w:gridSpan w:val="3"/>
          </w:tcPr>
          <w:p w14:paraId="26491E53"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Hypothekar</w:t>
            </w:r>
            <w:r w:rsidRPr="00C1307E">
              <w:rPr>
                <w:rFonts w:ascii="Arial" w:hAnsi="Arial" w:cs="Arial"/>
                <w:sz w:val="18"/>
                <w:szCs w:val="18"/>
              </w:rPr>
              <w:t>geschäften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E1D18C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C72E2AD" w14:textId="77777777" w:rsidTr="00A828FA">
        <w:tc>
          <w:tcPr>
            <w:tcW w:w="5798" w:type="dxa"/>
            <w:gridSpan w:val="3"/>
          </w:tcPr>
          <w:p w14:paraId="026B8734"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Hypothekar</w:t>
            </w:r>
            <w:r w:rsidRPr="00C1307E">
              <w:rPr>
                <w:rFonts w:ascii="Arial" w:hAnsi="Arial" w:cs="Arial"/>
                <w:sz w:val="18"/>
                <w:szCs w:val="18"/>
              </w:rPr>
              <w:t>geschäften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722E7CB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E6EFD28"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127E95FC" w14:textId="77777777" w:rsidTr="00A828FA">
        <w:tc>
          <w:tcPr>
            <w:tcW w:w="2660" w:type="dxa"/>
          </w:tcPr>
          <w:p w14:paraId="62F2E08A"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A9CF563"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618FDE6F" w14:textId="77777777" w:rsidTr="00A828FA">
        <w:tc>
          <w:tcPr>
            <w:tcW w:w="2660" w:type="dxa"/>
          </w:tcPr>
          <w:p w14:paraId="1D4C8ECF"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D0F5FC3" w14:textId="77777777" w:rsidR="0050402B" w:rsidRDefault="0050402B" w:rsidP="0050402B">
            <w:pPr>
              <w:jc w:val="both"/>
              <w:rPr>
                <w:rFonts w:ascii="Arial" w:hAnsi="Arial" w:cs="Arial"/>
                <w:i/>
                <w:sz w:val="20"/>
                <w:szCs w:val="20"/>
                <w:highlight w:val="lightGray"/>
              </w:rPr>
            </w:pPr>
          </w:p>
          <w:p w14:paraId="71D97708"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EB85AC7"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17F5B4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DDDD4F0" w14:textId="417970C2"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Verantwortlichkeiten und Kompetenzen sind klar</w:t>
            </w:r>
            <w:r w:rsidR="007D341F">
              <w:rPr>
                <w:rFonts w:cs="Arial"/>
                <w:i/>
                <w:szCs w:val="20"/>
                <w:highlight w:val="lightGray"/>
              </w:rPr>
              <w:t xml:space="preserve"> und angemessen</w:t>
            </w:r>
            <w:r w:rsidRPr="00CE3194">
              <w:rPr>
                <w:rFonts w:cs="Arial"/>
                <w:i/>
                <w:szCs w:val="20"/>
                <w:highlight w:val="lightGray"/>
              </w:rPr>
              <w:t xml:space="preserve"> geregelt;</w:t>
            </w:r>
          </w:p>
          <w:p w14:paraId="523ED7B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FE6BA8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BBE4236" w14:textId="77777777" w:rsidTr="00A828FA">
        <w:tc>
          <w:tcPr>
            <w:tcW w:w="2660" w:type="dxa"/>
          </w:tcPr>
          <w:p w14:paraId="67552409"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85453B2" w14:textId="77777777" w:rsidR="0074539F" w:rsidRPr="00CE3194" w:rsidRDefault="0074539F" w:rsidP="00A828FA">
            <w:pPr>
              <w:jc w:val="both"/>
              <w:rPr>
                <w:rFonts w:ascii="Arial" w:hAnsi="Arial" w:cs="Arial"/>
                <w:i/>
                <w:sz w:val="20"/>
                <w:szCs w:val="20"/>
                <w:highlight w:val="lightGray"/>
              </w:rPr>
            </w:pPr>
          </w:p>
        </w:tc>
        <w:tc>
          <w:tcPr>
            <w:tcW w:w="6520" w:type="dxa"/>
          </w:tcPr>
          <w:p w14:paraId="661BB91D" w14:textId="3DE0CCF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50998B7D" w14:textId="6AE789F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sehen die Anwendung des 4-Augen-Prinzips</w:t>
            </w:r>
            <w:r w:rsidR="00546003">
              <w:rPr>
                <w:rFonts w:cs="Arial"/>
                <w:i/>
                <w:szCs w:val="20"/>
                <w:highlight w:val="lightGray"/>
              </w:rPr>
              <w:t xml:space="preserve"> oder Funktionstrennung bei Schlüsselkontrollen</w:t>
            </w:r>
            <w:r w:rsidRPr="00CE3194">
              <w:rPr>
                <w:rFonts w:cs="Arial"/>
                <w:i/>
                <w:szCs w:val="20"/>
                <w:highlight w:val="lightGray"/>
              </w:rPr>
              <w:t xml:space="preserve"> vor;</w:t>
            </w:r>
          </w:p>
          <w:p w14:paraId="2D892137" w14:textId="4FA460C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0CBF68D"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3E5D18A1" w14:textId="77777777" w:rsidTr="00A828FA">
        <w:tc>
          <w:tcPr>
            <w:tcW w:w="2660" w:type="dxa"/>
          </w:tcPr>
          <w:p w14:paraId="3CFED3EE"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17152D4A" w14:textId="5B90DF85"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2277272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26EB7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25548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A7A7140"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D9DA8D6" w14:textId="7423AD71" w:rsidR="00380AE2" w:rsidRPr="006150E4"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Pr="00055C14">
              <w:rPr>
                <w:rFonts w:cs="Arial"/>
                <w:i/>
                <w:szCs w:val="20"/>
                <w:highlight w:val="lightGray"/>
              </w:rPr>
              <w:t xml:space="preserve"> 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p w14:paraId="3328C6BD" w14:textId="5BC115AD" w:rsidR="00916839" w:rsidRDefault="00916839" w:rsidP="00A938AE">
            <w:pPr>
              <w:pStyle w:val="Listenabsatz"/>
              <w:ind w:left="317"/>
              <w:jc w:val="both"/>
              <w:rPr>
                <w:rFonts w:cs="Arial"/>
                <w:i/>
                <w:szCs w:val="20"/>
              </w:rPr>
            </w:pPr>
          </w:p>
        </w:tc>
      </w:tr>
    </w:tbl>
    <w:p w14:paraId="1486A3CB" w14:textId="77777777" w:rsidR="004F6D55" w:rsidRDefault="004F6D55" w:rsidP="00CB3EE6">
      <w:pPr>
        <w:jc w:val="both"/>
      </w:pPr>
    </w:p>
    <w:p w14:paraId="0C466B4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48E560B" w14:textId="77777777" w:rsidR="00E70DF4" w:rsidRDefault="00E70DF4" w:rsidP="00CB3EE6">
      <w:pPr>
        <w:jc w:val="both"/>
      </w:pPr>
    </w:p>
    <w:p w14:paraId="63878FE7" w14:textId="77777777" w:rsidR="004F6D55" w:rsidRPr="006067FE" w:rsidRDefault="004F6D55" w:rsidP="00CB3EE6">
      <w:pPr>
        <w:jc w:val="both"/>
      </w:pPr>
    </w:p>
    <w:p w14:paraId="62A87BB0" w14:textId="77777777" w:rsidR="006067FE" w:rsidRDefault="006067FE" w:rsidP="006F7AB5">
      <w:pPr>
        <w:pStyle w:val="FINMAGliederungEbene3"/>
      </w:pPr>
      <w:bookmarkStart w:id="21" w:name="_Toc216425770"/>
      <w:r w:rsidRPr="006067FE">
        <w:t xml:space="preserve">Kreditrisiken / Gegenparteiausfallrisiken aus kommerziellen Kreditgeschäften </w:t>
      </w:r>
      <w:r w:rsidRPr="002E5C20">
        <w:rPr>
          <w:highlight w:val="yellow"/>
        </w:rPr>
        <w:t>inkl. Trade Finance</w:t>
      </w:r>
      <w:r w:rsidR="00543DCA" w:rsidRPr="002E5C20">
        <w:rPr>
          <w:highlight w:val="yellow"/>
        </w:rPr>
        <w:t xml:space="preserve"> </w:t>
      </w:r>
      <w:r w:rsidR="00543DCA">
        <w:t>(GR-3)</w:t>
      </w:r>
      <w:bookmarkEnd w:id="21"/>
    </w:p>
    <w:p w14:paraId="749E08EB"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0C199D3A" w14:textId="77777777" w:rsidTr="00A828FA">
        <w:trPr>
          <w:trHeight w:val="563"/>
        </w:trPr>
        <w:tc>
          <w:tcPr>
            <w:tcW w:w="1932" w:type="dxa"/>
          </w:tcPr>
          <w:p w14:paraId="6DC9147B"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5623AF4A"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8866C"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20FD6F51" w14:textId="77777777" w:rsidTr="00A828FA">
        <w:trPr>
          <w:trHeight w:val="698"/>
        </w:trPr>
        <w:tc>
          <w:tcPr>
            <w:tcW w:w="1932" w:type="dxa"/>
          </w:tcPr>
          <w:p w14:paraId="4DB17231" w14:textId="04417AA9"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2B769D84"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0859105"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F192BE9"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3B63AE0"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752294D4" w14:textId="77777777" w:rsidTr="00A828FA">
        <w:trPr>
          <w:trHeight w:val="636"/>
        </w:trPr>
        <w:tc>
          <w:tcPr>
            <w:tcW w:w="9180" w:type="dxa"/>
            <w:gridSpan w:val="4"/>
          </w:tcPr>
          <w:p w14:paraId="35A440A5" w14:textId="77777777" w:rsidR="004F6D55" w:rsidRDefault="004F6D55" w:rsidP="00A828FA">
            <w:pPr>
              <w:jc w:val="both"/>
              <w:rPr>
                <w:rFonts w:ascii="Arial" w:hAnsi="Arial" w:cs="Arial"/>
                <w:sz w:val="18"/>
                <w:szCs w:val="18"/>
              </w:rPr>
            </w:pPr>
          </w:p>
          <w:p w14:paraId="7950BD56"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97C8807" w14:textId="31F2105F" w:rsidR="004F6D55" w:rsidRPr="00F40152" w:rsidRDefault="00AC3F58" w:rsidP="00A828FA">
            <w:pPr>
              <w:jc w:val="both"/>
              <w:rPr>
                <w:rFonts w:ascii="Arial" w:hAnsi="Arial" w:cs="Arial"/>
                <w:sz w:val="18"/>
                <w:szCs w:val="18"/>
                <w:highlight w:val="yellow"/>
              </w:rPr>
            </w:pPr>
            <w:r w:rsidRPr="00A938AE">
              <w:rPr>
                <w:rFonts w:ascii="Arial" w:hAnsi="Arial" w:cs="Arial"/>
                <w:sz w:val="18"/>
                <w:szCs w:val="18"/>
                <w:highlight w:val="yellow"/>
              </w:rPr>
              <w:t xml:space="preserve">Art. 79 BankG; Art. 16 BankV; Art. 17 BankV, </w:t>
            </w:r>
            <w:r w:rsidR="0021306E" w:rsidRPr="00F40152">
              <w:rPr>
                <w:rFonts w:ascii="Arial" w:hAnsi="Arial" w:cs="Arial"/>
                <w:sz w:val="18"/>
                <w:szCs w:val="18"/>
                <w:highlight w:val="yellow"/>
              </w:rPr>
              <w:t xml:space="preserve">Art. 10-11 BankV, </w:t>
            </w:r>
            <w:r w:rsidR="003D18A4" w:rsidRPr="00F40152">
              <w:rPr>
                <w:rFonts w:ascii="Arial" w:hAnsi="Arial" w:cs="Arial"/>
                <w:sz w:val="18"/>
                <w:szCs w:val="18"/>
                <w:highlight w:val="yellow"/>
              </w:rPr>
              <w:t>EBA/GL/2020/06</w:t>
            </w:r>
            <w:r w:rsidRPr="00A938AE">
              <w:rPr>
                <w:rFonts w:ascii="Arial" w:hAnsi="Arial" w:cs="Arial"/>
                <w:sz w:val="18"/>
                <w:szCs w:val="18"/>
                <w:highlight w:val="yellow"/>
              </w:rPr>
              <w:t>, EBA/GL/2016/07, EBA/GL/2018/06</w:t>
            </w:r>
            <w:r w:rsidR="009E273B" w:rsidRPr="00F40152">
              <w:rPr>
                <w:rFonts w:ascii="Arial" w:hAnsi="Arial" w:cs="Arial"/>
                <w:sz w:val="18"/>
                <w:szCs w:val="18"/>
                <w:highlight w:val="yellow"/>
              </w:rPr>
              <w:t xml:space="preserve">; EBA/GL/2021/05, </w:t>
            </w:r>
          </w:p>
          <w:p w14:paraId="297B2AB8"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0BB33313" w14:textId="77777777" w:rsidTr="00A828FA">
        <w:trPr>
          <w:trHeight w:val="294"/>
        </w:trPr>
        <w:tc>
          <w:tcPr>
            <w:tcW w:w="9180" w:type="dxa"/>
            <w:gridSpan w:val="4"/>
          </w:tcPr>
          <w:p w14:paraId="4AB48DDD" w14:textId="77777777" w:rsidR="004F6D55" w:rsidRPr="009872F3" w:rsidRDefault="004F6D55" w:rsidP="00A828FA">
            <w:pPr>
              <w:jc w:val="both"/>
              <w:rPr>
                <w:rFonts w:ascii="Arial" w:hAnsi="Arial" w:cs="Arial"/>
                <w:sz w:val="18"/>
                <w:szCs w:val="18"/>
              </w:rPr>
            </w:pPr>
          </w:p>
        </w:tc>
      </w:tr>
      <w:tr w:rsidR="004F6D55" w:rsidRPr="009872F3" w14:paraId="622E5692" w14:textId="77777777" w:rsidTr="00A828FA">
        <w:tc>
          <w:tcPr>
            <w:tcW w:w="5798" w:type="dxa"/>
            <w:gridSpan w:val="3"/>
          </w:tcPr>
          <w:p w14:paraId="74BB26EE"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Pr>
                <w:rFonts w:ascii="Arial" w:hAnsi="Arial" w:cs="Arial"/>
                <w:sz w:val="18"/>
                <w:szCs w:val="18"/>
              </w:rPr>
              <w:t xml:space="preserve">kommerziellen Kreditgeschäften </w:t>
            </w:r>
            <w:r w:rsidRPr="002E5C20">
              <w:rPr>
                <w:rFonts w:ascii="Arial" w:hAnsi="Arial" w:cs="Arial"/>
                <w:sz w:val="18"/>
                <w:szCs w:val="18"/>
                <w:highlight w:val="yellow"/>
              </w:rPr>
              <w:t xml:space="preserve">inkl. Trade Finance </w:t>
            </w:r>
            <w:r w:rsidRPr="00C1307E">
              <w:rPr>
                <w:rFonts w:ascii="Arial" w:hAnsi="Arial" w:cs="Arial"/>
                <w:sz w:val="18"/>
                <w:szCs w:val="18"/>
              </w:rPr>
              <w:t>angemessen ausgestaltet ist.</w:t>
            </w:r>
          </w:p>
        </w:tc>
        <w:tc>
          <w:tcPr>
            <w:tcW w:w="3382" w:type="dxa"/>
          </w:tcPr>
          <w:p w14:paraId="4AD18028"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144A896" w14:textId="77777777" w:rsidTr="00A828FA">
        <w:tc>
          <w:tcPr>
            <w:tcW w:w="5798" w:type="dxa"/>
            <w:gridSpan w:val="3"/>
          </w:tcPr>
          <w:p w14:paraId="26BC094A"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kommerziellen Kreditgeschäften </w:t>
            </w:r>
            <w:r w:rsidRPr="002E5C20">
              <w:rPr>
                <w:rFonts w:ascii="Arial" w:hAnsi="Arial" w:cs="Arial"/>
                <w:sz w:val="18"/>
                <w:szCs w:val="18"/>
                <w:highlight w:val="yellow"/>
              </w:rPr>
              <w:t>inkl. Trade Finance</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6BD2517"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7D92B5C2" w14:textId="77777777" w:rsidTr="00A828FA">
        <w:tc>
          <w:tcPr>
            <w:tcW w:w="5798" w:type="dxa"/>
            <w:gridSpan w:val="3"/>
          </w:tcPr>
          <w:p w14:paraId="72047C66"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 xml:space="preserve">kommerziellen Kreditgeschäften </w:t>
            </w:r>
            <w:r w:rsidRPr="002E5C20">
              <w:rPr>
                <w:rFonts w:ascii="Arial" w:hAnsi="Arial" w:cs="Arial"/>
                <w:sz w:val="18"/>
                <w:szCs w:val="18"/>
                <w:highlight w:val="yellow"/>
              </w:rPr>
              <w:t>inkl. Trade Finance</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w:t>
            </w:r>
            <w:r w:rsidR="0050402B">
              <w:rPr>
                <w:rFonts w:ascii="Arial" w:hAnsi="Arial" w:cs="Arial"/>
                <w:sz w:val="18"/>
                <w:szCs w:val="18"/>
              </w:rPr>
              <w:t xml:space="preserve"> angewendet wurden</w:t>
            </w:r>
            <w:r w:rsidRPr="00C1307E">
              <w:rPr>
                <w:rFonts w:ascii="Arial" w:hAnsi="Arial" w:cs="Arial"/>
                <w:sz w:val="18"/>
                <w:szCs w:val="18"/>
              </w:rPr>
              <w:t xml:space="preserve">. </w:t>
            </w:r>
          </w:p>
        </w:tc>
        <w:tc>
          <w:tcPr>
            <w:tcW w:w="3382" w:type="dxa"/>
          </w:tcPr>
          <w:p w14:paraId="31254347"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053D1CF"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7FB35B18" w14:textId="77777777" w:rsidTr="00A828FA">
        <w:tc>
          <w:tcPr>
            <w:tcW w:w="2660" w:type="dxa"/>
          </w:tcPr>
          <w:p w14:paraId="2AA4AF44"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AE49EF9"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22912D6E" w14:textId="77777777" w:rsidTr="00A828FA">
        <w:tc>
          <w:tcPr>
            <w:tcW w:w="2660" w:type="dxa"/>
          </w:tcPr>
          <w:p w14:paraId="1EBAA11B"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lastRenderedPageBreak/>
              <w:t xml:space="preserve">Interne Organisation </w:t>
            </w:r>
          </w:p>
          <w:p w14:paraId="78C3462C" w14:textId="77777777" w:rsidR="0050402B" w:rsidRDefault="0050402B" w:rsidP="0050402B">
            <w:pPr>
              <w:jc w:val="both"/>
              <w:rPr>
                <w:rFonts w:ascii="Arial" w:hAnsi="Arial" w:cs="Arial"/>
                <w:i/>
                <w:sz w:val="20"/>
                <w:szCs w:val="20"/>
                <w:highlight w:val="lightGray"/>
              </w:rPr>
            </w:pPr>
          </w:p>
          <w:p w14:paraId="7667FD1E"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E6660E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8A08B9C"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218A5A8" w14:textId="760F701D"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697EA88"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D0D4EB5"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777FA367" w14:textId="77777777" w:rsidTr="00A828FA">
        <w:tc>
          <w:tcPr>
            <w:tcW w:w="2660" w:type="dxa"/>
          </w:tcPr>
          <w:p w14:paraId="368886DD"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EAAA514" w14:textId="77777777" w:rsidR="0074539F" w:rsidRPr="00CE3194" w:rsidRDefault="0074539F" w:rsidP="00A828FA">
            <w:pPr>
              <w:jc w:val="both"/>
              <w:rPr>
                <w:rFonts w:ascii="Arial" w:hAnsi="Arial" w:cs="Arial"/>
                <w:i/>
                <w:sz w:val="20"/>
                <w:szCs w:val="20"/>
                <w:highlight w:val="lightGray"/>
              </w:rPr>
            </w:pPr>
          </w:p>
        </w:tc>
        <w:tc>
          <w:tcPr>
            <w:tcW w:w="6520" w:type="dxa"/>
          </w:tcPr>
          <w:p w14:paraId="638BAD1B" w14:textId="2E6AED1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07CD189" w14:textId="494D0DA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F7F1763" w14:textId="2C12C3D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59B107A8"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4EDFDD13" w14:textId="77777777" w:rsidTr="00A828FA">
        <w:tc>
          <w:tcPr>
            <w:tcW w:w="2660" w:type="dxa"/>
          </w:tcPr>
          <w:p w14:paraId="76AC8B6B"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46D8261" w14:textId="1F2BC24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AF7B84">
              <w:rPr>
                <w:rFonts w:cs="Arial"/>
                <w:i/>
                <w:szCs w:val="20"/>
                <w:highlight w:val="lightGray"/>
              </w:rPr>
              <w:t xml:space="preserve"> </w:t>
            </w:r>
            <w:r w:rsidR="00BC1DBA">
              <w:rPr>
                <w:rFonts w:cs="Arial"/>
                <w:i/>
                <w:szCs w:val="20"/>
                <w:highlight w:val="lightGray"/>
              </w:rPr>
              <w:t>dabei werden auch ESG-Risikofaktoren angemessen berücksichtigt.</w:t>
            </w:r>
          </w:p>
          <w:p w14:paraId="082F9C7B"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592DAF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DE75674"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3C8B7B9"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6CB84524" w14:textId="571690BA" w:rsidR="00380AE2" w:rsidRPr="00A938AE" w:rsidRDefault="00916839" w:rsidP="00380AE2">
            <w:pPr>
              <w:pStyle w:val="Listenabsatz"/>
              <w:numPr>
                <w:ilvl w:val="1"/>
                <w:numId w:val="17"/>
              </w:numPr>
              <w:ind w:left="317" w:hanging="283"/>
              <w:jc w:val="both"/>
              <w:rPr>
                <w:rFonts w:cs="Arial"/>
                <w:i/>
                <w:szCs w:val="20"/>
                <w:highlight w:val="lightGray"/>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p w14:paraId="7EEC6B5D" w14:textId="02B9E14B" w:rsidR="00916839" w:rsidRDefault="00916839" w:rsidP="00A938AE">
            <w:pPr>
              <w:pStyle w:val="Listenabsatz"/>
              <w:ind w:left="317"/>
              <w:jc w:val="both"/>
              <w:rPr>
                <w:rFonts w:cs="Arial"/>
                <w:i/>
                <w:szCs w:val="20"/>
              </w:rPr>
            </w:pPr>
          </w:p>
        </w:tc>
      </w:tr>
    </w:tbl>
    <w:p w14:paraId="7D30F957" w14:textId="77777777" w:rsidR="004F6D55" w:rsidRDefault="004F6D55" w:rsidP="00CB3EE6">
      <w:pPr>
        <w:jc w:val="both"/>
      </w:pPr>
    </w:p>
    <w:p w14:paraId="5ADA7DD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B1A3EB5" w14:textId="77777777" w:rsidR="00E70DF4" w:rsidRDefault="00E70DF4" w:rsidP="00CB3EE6">
      <w:pPr>
        <w:jc w:val="both"/>
      </w:pPr>
    </w:p>
    <w:p w14:paraId="08E44F91" w14:textId="77777777" w:rsidR="004F6D55" w:rsidRPr="006067FE" w:rsidRDefault="004F6D55" w:rsidP="00CB3EE6">
      <w:pPr>
        <w:jc w:val="both"/>
      </w:pPr>
    </w:p>
    <w:p w14:paraId="39CD2ECA" w14:textId="77777777" w:rsidR="006067FE" w:rsidRDefault="006067FE" w:rsidP="006F7AB5">
      <w:pPr>
        <w:pStyle w:val="FINMAGliederungEbene3"/>
      </w:pPr>
      <w:bookmarkStart w:id="22" w:name="_Toc216425771"/>
      <w:r w:rsidRPr="006067FE">
        <w:t>Kreditrisiken / Gegenparteiausfallrisiken aus Lombardkreditgeschäften</w:t>
      </w:r>
      <w:r w:rsidR="00543DCA">
        <w:t xml:space="preserve"> (GR-4)</w:t>
      </w:r>
      <w:bookmarkEnd w:id="22"/>
    </w:p>
    <w:p w14:paraId="0F88CF4E"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6CD1DB14" w14:textId="77777777" w:rsidTr="00A828FA">
        <w:trPr>
          <w:trHeight w:val="563"/>
        </w:trPr>
        <w:tc>
          <w:tcPr>
            <w:tcW w:w="1932" w:type="dxa"/>
          </w:tcPr>
          <w:p w14:paraId="0E85A79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87B5E44"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FDC2DB1"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64CB19F8" w14:textId="77777777" w:rsidTr="00A828FA">
        <w:trPr>
          <w:trHeight w:val="698"/>
        </w:trPr>
        <w:tc>
          <w:tcPr>
            <w:tcW w:w="1932" w:type="dxa"/>
          </w:tcPr>
          <w:p w14:paraId="49CE912A" w14:textId="5F0B5546"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4A3DEB0"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DA2C506"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86D7523"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33803B"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3500B2E8" w14:textId="77777777" w:rsidTr="00A828FA">
        <w:trPr>
          <w:trHeight w:val="636"/>
        </w:trPr>
        <w:tc>
          <w:tcPr>
            <w:tcW w:w="9180" w:type="dxa"/>
            <w:gridSpan w:val="4"/>
          </w:tcPr>
          <w:p w14:paraId="5EB02452" w14:textId="77777777" w:rsidR="004F6D55" w:rsidRDefault="004F6D55" w:rsidP="00A828FA">
            <w:pPr>
              <w:jc w:val="both"/>
              <w:rPr>
                <w:rFonts w:ascii="Arial" w:hAnsi="Arial" w:cs="Arial"/>
                <w:sz w:val="18"/>
                <w:szCs w:val="18"/>
              </w:rPr>
            </w:pPr>
          </w:p>
          <w:p w14:paraId="266E46D7"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FA072E8" w14:textId="369CD3FB" w:rsidR="004F6D55" w:rsidRPr="00F40152" w:rsidRDefault="00AC3F58" w:rsidP="00A828FA">
            <w:pPr>
              <w:jc w:val="both"/>
              <w:rPr>
                <w:rFonts w:ascii="Arial" w:hAnsi="Arial" w:cs="Arial"/>
                <w:sz w:val="18"/>
                <w:szCs w:val="18"/>
                <w:highlight w:val="yellow"/>
              </w:rPr>
            </w:pPr>
            <w:r w:rsidRPr="00A938AE">
              <w:rPr>
                <w:rFonts w:ascii="Arial" w:hAnsi="Arial" w:cs="Arial"/>
                <w:sz w:val="18"/>
                <w:szCs w:val="18"/>
                <w:highlight w:val="yellow"/>
              </w:rPr>
              <w:t xml:space="preserve">Art. 79 BankG; Art. 16 BankV; Art. 17 BankV, </w:t>
            </w:r>
            <w:r w:rsidR="0021306E" w:rsidRPr="00F40152">
              <w:rPr>
                <w:rFonts w:ascii="Arial" w:hAnsi="Arial" w:cs="Arial"/>
                <w:sz w:val="18"/>
                <w:szCs w:val="18"/>
                <w:highlight w:val="yellow"/>
              </w:rPr>
              <w:t xml:space="preserve">Art. 10-11 BankV, </w:t>
            </w:r>
            <w:r w:rsidRPr="00A938AE">
              <w:rPr>
                <w:rFonts w:ascii="Arial" w:hAnsi="Arial" w:cs="Arial"/>
                <w:sz w:val="18"/>
                <w:szCs w:val="18"/>
                <w:highlight w:val="yellow"/>
              </w:rPr>
              <w:t>,</w:t>
            </w:r>
            <w:r w:rsidR="003D18A4" w:rsidRPr="00F40152">
              <w:rPr>
                <w:rFonts w:ascii="Arial" w:hAnsi="Arial" w:cs="Arial"/>
                <w:sz w:val="18"/>
                <w:szCs w:val="18"/>
                <w:highlight w:val="yellow"/>
              </w:rPr>
              <w:t xml:space="preserve"> EBA/GL/2020/06</w:t>
            </w:r>
            <w:r w:rsidRPr="00F40152">
              <w:rPr>
                <w:rFonts w:ascii="Arial" w:hAnsi="Arial" w:cs="Arial"/>
                <w:sz w:val="18"/>
                <w:szCs w:val="18"/>
                <w:highlight w:val="yellow"/>
              </w:rPr>
              <w:t xml:space="preserve">, </w:t>
            </w:r>
            <w:r w:rsidRPr="00A938AE">
              <w:rPr>
                <w:rFonts w:ascii="Arial" w:hAnsi="Arial" w:cs="Arial"/>
                <w:sz w:val="18"/>
                <w:szCs w:val="18"/>
                <w:highlight w:val="yellow"/>
              </w:rPr>
              <w:t>EBA/GL/2016/07, EBA/GL/2018/06</w:t>
            </w:r>
            <w:r w:rsidR="009E273B" w:rsidRPr="00F40152">
              <w:rPr>
                <w:rFonts w:ascii="Arial" w:hAnsi="Arial" w:cs="Arial"/>
                <w:sz w:val="18"/>
                <w:szCs w:val="18"/>
                <w:highlight w:val="yellow"/>
              </w:rPr>
              <w:t>;</w:t>
            </w:r>
            <w:r w:rsidR="009E273B" w:rsidRPr="00A938AE">
              <w:rPr>
                <w:rFonts w:ascii="Arial" w:hAnsi="Arial" w:cs="Arial"/>
                <w:sz w:val="18"/>
                <w:szCs w:val="18"/>
                <w:highlight w:val="yellow"/>
              </w:rPr>
              <w:t xml:space="preserve"> </w:t>
            </w:r>
            <w:r w:rsidR="009E273B" w:rsidRPr="00F40152">
              <w:rPr>
                <w:rFonts w:ascii="Arial" w:hAnsi="Arial" w:cs="Arial"/>
                <w:sz w:val="18"/>
                <w:szCs w:val="18"/>
                <w:highlight w:val="yellow"/>
              </w:rPr>
              <w:t>EBA/GL/2021/05,</w:t>
            </w:r>
          </w:p>
          <w:p w14:paraId="79650F16"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7BC79EEE" w14:textId="77777777" w:rsidTr="00A828FA">
        <w:trPr>
          <w:trHeight w:val="294"/>
        </w:trPr>
        <w:tc>
          <w:tcPr>
            <w:tcW w:w="9180" w:type="dxa"/>
            <w:gridSpan w:val="4"/>
          </w:tcPr>
          <w:p w14:paraId="76DC481E" w14:textId="77777777" w:rsidR="004F6D55" w:rsidRPr="009872F3" w:rsidRDefault="004F6D55" w:rsidP="00A828FA">
            <w:pPr>
              <w:jc w:val="both"/>
              <w:rPr>
                <w:rFonts w:ascii="Arial" w:hAnsi="Arial" w:cs="Arial"/>
                <w:sz w:val="18"/>
                <w:szCs w:val="18"/>
              </w:rPr>
            </w:pPr>
          </w:p>
        </w:tc>
      </w:tr>
      <w:tr w:rsidR="004F6D55" w:rsidRPr="009872F3" w14:paraId="231F5CA9" w14:textId="77777777" w:rsidTr="00A828FA">
        <w:tc>
          <w:tcPr>
            <w:tcW w:w="5798" w:type="dxa"/>
            <w:gridSpan w:val="3"/>
          </w:tcPr>
          <w:p w14:paraId="3429105D"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C1307E">
              <w:rPr>
                <w:rFonts w:ascii="Arial" w:hAnsi="Arial" w:cs="Arial"/>
                <w:sz w:val="18"/>
                <w:szCs w:val="18"/>
              </w:rPr>
              <w:lastRenderedPageBreak/>
              <w:t xml:space="preserve">Kreditrisiken / Gegenparteiausfallrisiken aus </w:t>
            </w:r>
            <w:r>
              <w:rPr>
                <w:rFonts w:ascii="Arial" w:hAnsi="Arial" w:cs="Arial"/>
                <w:sz w:val="18"/>
                <w:szCs w:val="18"/>
              </w:rPr>
              <w:t>Lombardkreditgeschäften</w:t>
            </w:r>
            <w:r w:rsidRPr="00C1307E">
              <w:rPr>
                <w:rFonts w:ascii="Arial" w:hAnsi="Arial" w:cs="Arial"/>
                <w:sz w:val="18"/>
                <w:szCs w:val="18"/>
              </w:rPr>
              <w:t xml:space="preserve"> angemessen ausgestaltet ist.</w:t>
            </w:r>
          </w:p>
        </w:tc>
        <w:tc>
          <w:tcPr>
            <w:tcW w:w="3382" w:type="dxa"/>
          </w:tcPr>
          <w:p w14:paraId="26659C06"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32310622" w14:textId="77777777" w:rsidTr="00A828FA">
        <w:tc>
          <w:tcPr>
            <w:tcW w:w="5798" w:type="dxa"/>
            <w:gridSpan w:val="3"/>
          </w:tcPr>
          <w:p w14:paraId="05328801"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Lombardkreditgeschäften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E984236"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1AEA2EF7" w14:textId="77777777" w:rsidTr="00A828FA">
        <w:tc>
          <w:tcPr>
            <w:tcW w:w="5798" w:type="dxa"/>
            <w:gridSpan w:val="3"/>
          </w:tcPr>
          <w:p w14:paraId="1DC50B37"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Lombardkreditgeschäften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2B4BEDAF"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5186BC9"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64FDD1C8" w14:textId="77777777" w:rsidTr="00A828FA">
        <w:tc>
          <w:tcPr>
            <w:tcW w:w="2660" w:type="dxa"/>
          </w:tcPr>
          <w:p w14:paraId="34EBBE62"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2F39090"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1F3984A7" w14:textId="77777777" w:rsidTr="00A828FA">
        <w:tc>
          <w:tcPr>
            <w:tcW w:w="2660" w:type="dxa"/>
          </w:tcPr>
          <w:p w14:paraId="7865CDF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49B03D9" w14:textId="77777777" w:rsidR="0050402B" w:rsidRDefault="0050402B" w:rsidP="0050402B">
            <w:pPr>
              <w:jc w:val="both"/>
              <w:rPr>
                <w:rFonts w:ascii="Arial" w:hAnsi="Arial" w:cs="Arial"/>
                <w:i/>
                <w:sz w:val="20"/>
                <w:szCs w:val="20"/>
                <w:highlight w:val="lightGray"/>
              </w:rPr>
            </w:pPr>
          </w:p>
          <w:p w14:paraId="79EF7F8F"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3FD8828"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05D666F"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A2F8C8F" w14:textId="1BD76671"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D303ACB"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E4C468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05DBFDC" w14:textId="77777777" w:rsidTr="00A828FA">
        <w:tc>
          <w:tcPr>
            <w:tcW w:w="2660" w:type="dxa"/>
          </w:tcPr>
          <w:p w14:paraId="7CA2C09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AC2B34D" w14:textId="77777777" w:rsidR="0074539F" w:rsidRPr="00CE3194" w:rsidRDefault="0074539F" w:rsidP="00A828FA">
            <w:pPr>
              <w:jc w:val="both"/>
              <w:rPr>
                <w:rFonts w:ascii="Arial" w:hAnsi="Arial" w:cs="Arial"/>
                <w:i/>
                <w:sz w:val="20"/>
                <w:szCs w:val="20"/>
                <w:highlight w:val="lightGray"/>
              </w:rPr>
            </w:pPr>
          </w:p>
        </w:tc>
        <w:tc>
          <w:tcPr>
            <w:tcW w:w="6520" w:type="dxa"/>
          </w:tcPr>
          <w:p w14:paraId="6A655A07" w14:textId="397D14C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D3B9C34" w14:textId="3181CEA6"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2E452AF" w14:textId="5BE188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C44A43F"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427E0AA8" w14:textId="77777777" w:rsidTr="00A828FA">
        <w:tc>
          <w:tcPr>
            <w:tcW w:w="2660" w:type="dxa"/>
          </w:tcPr>
          <w:p w14:paraId="67962384"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5DD7040" w14:textId="1CE2F714"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380AE2" w:rsidRPr="00380AE2">
              <w:rPr>
                <w:rFonts w:cs="Arial"/>
                <w:i/>
                <w:szCs w:val="20"/>
              </w:rPr>
              <w:t xml:space="preserve"> </w:t>
            </w:r>
            <w:r w:rsidR="00BC1DBA">
              <w:rPr>
                <w:rFonts w:cs="Arial"/>
                <w:i/>
                <w:szCs w:val="20"/>
                <w:highlight w:val="lightGray"/>
              </w:rPr>
              <w:t>dabei werden auch ESG-Risikofaktoren angemessen berücksichtigt.</w:t>
            </w:r>
          </w:p>
          <w:p w14:paraId="1B27ECF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5B99B0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C7D9F09"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427D236"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A4ACBED" w14:textId="0E940DC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786B9469" w14:textId="77777777" w:rsidR="004F6D55" w:rsidRDefault="004F6D55" w:rsidP="00CB3EE6">
      <w:pPr>
        <w:jc w:val="both"/>
      </w:pPr>
    </w:p>
    <w:p w14:paraId="522987FD"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E52DAE4" w14:textId="77777777" w:rsidR="00E70DF4" w:rsidRDefault="00E70DF4" w:rsidP="00CB3EE6">
      <w:pPr>
        <w:jc w:val="both"/>
      </w:pPr>
    </w:p>
    <w:p w14:paraId="6BA41878" w14:textId="77777777" w:rsidR="004F6D55" w:rsidRPr="006067FE" w:rsidRDefault="004F6D55" w:rsidP="00CB3EE6">
      <w:pPr>
        <w:jc w:val="both"/>
      </w:pPr>
    </w:p>
    <w:p w14:paraId="114BA3EA" w14:textId="77777777" w:rsidR="006067FE" w:rsidRDefault="006067FE" w:rsidP="006F7AB5">
      <w:pPr>
        <w:pStyle w:val="FINMAGliederungEbene3"/>
      </w:pPr>
      <w:bookmarkStart w:id="23" w:name="_Toc216425772"/>
      <w:r w:rsidRPr="006067FE">
        <w:t xml:space="preserve">Kreditrisiken / Gegenparteiausfallrisiken aus </w:t>
      </w:r>
      <w:r w:rsidR="00764E6A" w:rsidRPr="002E5C20">
        <w:rPr>
          <w:highlight w:val="yellow"/>
        </w:rPr>
        <w:t>Konsumkrediten und anderen unbesicherten Krediten</w:t>
      </w:r>
      <w:r w:rsidR="00543DCA">
        <w:t xml:space="preserve"> (GR-5)</w:t>
      </w:r>
      <w:bookmarkEnd w:id="23"/>
    </w:p>
    <w:p w14:paraId="1DDC0647" w14:textId="77777777" w:rsidR="004F6D55" w:rsidRDefault="004F6D55"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F6D55" w:rsidRPr="009872F3" w14:paraId="0B14A812" w14:textId="77777777" w:rsidTr="00A828FA">
        <w:trPr>
          <w:trHeight w:val="563"/>
        </w:trPr>
        <w:tc>
          <w:tcPr>
            <w:tcW w:w="1932" w:type="dxa"/>
          </w:tcPr>
          <w:p w14:paraId="1CE9831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45571D7D"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A132239"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F6D55" w:rsidRPr="009872F3" w14:paraId="6E164CA8" w14:textId="77777777" w:rsidTr="00A828FA">
        <w:trPr>
          <w:trHeight w:val="698"/>
        </w:trPr>
        <w:tc>
          <w:tcPr>
            <w:tcW w:w="1932" w:type="dxa"/>
          </w:tcPr>
          <w:p w14:paraId="32807955" w14:textId="50D33AE4"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5BB6D9A" w14:textId="77777777" w:rsidR="004F6D55" w:rsidRPr="006749F0" w:rsidRDefault="004F6D55"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685782" w14:textId="77777777" w:rsidR="004F6D55" w:rsidRPr="009872F3" w:rsidRDefault="004F6D55"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7F1D04B" w14:textId="77777777" w:rsidR="004F6D55" w:rsidRDefault="004F6D55"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2D0C4B0" w14:textId="77777777" w:rsidR="004F6D55" w:rsidRPr="006749F0" w:rsidRDefault="004F6D55" w:rsidP="00A828FA">
            <w:pPr>
              <w:jc w:val="both"/>
              <w:rPr>
                <w:rFonts w:ascii="Arial" w:hAnsi="Arial" w:cs="Arial"/>
                <w:i/>
                <w:sz w:val="18"/>
                <w:szCs w:val="18"/>
              </w:rPr>
            </w:pPr>
            <w:r w:rsidRPr="006749F0">
              <w:rPr>
                <w:rFonts w:ascii="Arial" w:hAnsi="Arial" w:cs="Arial"/>
                <w:i/>
                <w:sz w:val="18"/>
                <w:szCs w:val="18"/>
                <w:highlight w:val="yellow"/>
              </w:rPr>
              <w:t>Jahr</w:t>
            </w:r>
          </w:p>
        </w:tc>
      </w:tr>
      <w:tr w:rsidR="004F6D55" w:rsidRPr="009872F3" w14:paraId="64703596" w14:textId="77777777" w:rsidTr="00A828FA">
        <w:trPr>
          <w:trHeight w:val="636"/>
        </w:trPr>
        <w:tc>
          <w:tcPr>
            <w:tcW w:w="9180" w:type="dxa"/>
            <w:gridSpan w:val="4"/>
          </w:tcPr>
          <w:p w14:paraId="6887B620" w14:textId="77777777" w:rsidR="004F6D55" w:rsidRDefault="004F6D55" w:rsidP="00A828FA">
            <w:pPr>
              <w:jc w:val="both"/>
              <w:rPr>
                <w:rFonts w:ascii="Arial" w:hAnsi="Arial" w:cs="Arial"/>
                <w:sz w:val="18"/>
                <w:szCs w:val="18"/>
              </w:rPr>
            </w:pPr>
          </w:p>
          <w:p w14:paraId="3962D573" w14:textId="77777777" w:rsidR="004F6D55" w:rsidRPr="00F60909" w:rsidRDefault="004F6D55"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FA35EDE" w14:textId="2F9583D6" w:rsidR="004F6D55" w:rsidRPr="00F40152" w:rsidRDefault="00AC3F58" w:rsidP="00A828FA">
            <w:pPr>
              <w:jc w:val="both"/>
              <w:rPr>
                <w:rFonts w:ascii="Arial" w:hAnsi="Arial" w:cs="Arial"/>
                <w:sz w:val="18"/>
                <w:szCs w:val="18"/>
                <w:highlight w:val="yellow"/>
              </w:rPr>
            </w:pPr>
            <w:r w:rsidRPr="00A938AE">
              <w:rPr>
                <w:rFonts w:ascii="Arial" w:hAnsi="Arial" w:cs="Arial"/>
                <w:sz w:val="18"/>
                <w:szCs w:val="18"/>
                <w:highlight w:val="yellow"/>
              </w:rPr>
              <w:t xml:space="preserve">Art. 79 BankG; Art. 16 BankV; Art. 17 BankV, </w:t>
            </w:r>
            <w:r w:rsidR="0021306E" w:rsidRPr="00F40152">
              <w:rPr>
                <w:rFonts w:ascii="Arial" w:hAnsi="Arial" w:cs="Arial"/>
                <w:sz w:val="18"/>
                <w:szCs w:val="18"/>
                <w:highlight w:val="yellow"/>
              </w:rPr>
              <w:t xml:space="preserve">Art. 10-11 BankV, </w:t>
            </w:r>
            <w:r w:rsidR="003D18A4" w:rsidRPr="00F40152">
              <w:rPr>
                <w:rFonts w:ascii="Arial" w:hAnsi="Arial" w:cs="Arial"/>
                <w:sz w:val="18"/>
                <w:szCs w:val="18"/>
                <w:highlight w:val="yellow"/>
              </w:rPr>
              <w:t>EBA/GL/2020/06</w:t>
            </w:r>
            <w:r w:rsidRPr="00F40152">
              <w:rPr>
                <w:rFonts w:ascii="Arial" w:hAnsi="Arial" w:cs="Arial"/>
                <w:sz w:val="18"/>
                <w:szCs w:val="18"/>
                <w:highlight w:val="yellow"/>
              </w:rPr>
              <w:t xml:space="preserve">, </w:t>
            </w:r>
            <w:r w:rsidRPr="00A938AE">
              <w:rPr>
                <w:rFonts w:ascii="Arial" w:hAnsi="Arial" w:cs="Arial"/>
                <w:sz w:val="18"/>
                <w:szCs w:val="18"/>
                <w:highlight w:val="yellow"/>
              </w:rPr>
              <w:t>EBA/GL/2016/07, EBA/GL/2018/06</w:t>
            </w:r>
            <w:r w:rsidR="009E273B" w:rsidRPr="00F40152">
              <w:rPr>
                <w:rFonts w:ascii="Arial" w:hAnsi="Arial" w:cs="Arial"/>
                <w:sz w:val="18"/>
                <w:szCs w:val="18"/>
                <w:highlight w:val="yellow"/>
              </w:rPr>
              <w:t>;</w:t>
            </w:r>
            <w:r w:rsidR="009E273B" w:rsidRPr="00A938AE">
              <w:rPr>
                <w:rFonts w:ascii="Arial" w:hAnsi="Arial" w:cs="Arial"/>
                <w:sz w:val="18"/>
                <w:szCs w:val="18"/>
                <w:highlight w:val="yellow"/>
              </w:rPr>
              <w:t xml:space="preserve"> </w:t>
            </w:r>
            <w:r w:rsidR="009E273B" w:rsidRPr="00F40152">
              <w:rPr>
                <w:rFonts w:ascii="Arial" w:hAnsi="Arial" w:cs="Arial"/>
                <w:sz w:val="18"/>
                <w:szCs w:val="18"/>
                <w:highlight w:val="yellow"/>
              </w:rPr>
              <w:t>EBA/GL/2021/05</w:t>
            </w:r>
          </w:p>
          <w:p w14:paraId="597B2611" w14:textId="77777777" w:rsidR="004F6D55" w:rsidRPr="009872F3" w:rsidRDefault="004F6D55"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p>
        </w:tc>
      </w:tr>
      <w:tr w:rsidR="004F6D55" w:rsidRPr="009872F3" w14:paraId="771707B7" w14:textId="77777777" w:rsidTr="00A828FA">
        <w:trPr>
          <w:trHeight w:val="294"/>
        </w:trPr>
        <w:tc>
          <w:tcPr>
            <w:tcW w:w="9180" w:type="dxa"/>
            <w:gridSpan w:val="4"/>
          </w:tcPr>
          <w:p w14:paraId="3FC4AC69" w14:textId="77777777" w:rsidR="004F6D55" w:rsidRPr="009872F3" w:rsidRDefault="004F6D55" w:rsidP="00A828FA">
            <w:pPr>
              <w:jc w:val="both"/>
              <w:rPr>
                <w:rFonts w:ascii="Arial" w:hAnsi="Arial" w:cs="Arial"/>
                <w:sz w:val="18"/>
                <w:szCs w:val="18"/>
              </w:rPr>
            </w:pPr>
          </w:p>
        </w:tc>
      </w:tr>
      <w:tr w:rsidR="004F6D55" w:rsidRPr="009872F3" w14:paraId="0E8D699E" w14:textId="77777777" w:rsidTr="00A828FA">
        <w:tc>
          <w:tcPr>
            <w:tcW w:w="5798" w:type="dxa"/>
            <w:gridSpan w:val="3"/>
          </w:tcPr>
          <w:p w14:paraId="498FF3F0" w14:textId="77777777" w:rsidR="004F6D55" w:rsidRPr="00C1307E" w:rsidRDefault="004F6D5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sidRPr="00C1307E">
              <w:rPr>
                <w:rFonts w:ascii="Arial" w:hAnsi="Arial" w:cs="Arial"/>
                <w:sz w:val="18"/>
                <w:szCs w:val="18"/>
              </w:rPr>
              <w:t xml:space="preserve"> angemessen ausgestaltet ist.</w:t>
            </w:r>
          </w:p>
        </w:tc>
        <w:tc>
          <w:tcPr>
            <w:tcW w:w="3382" w:type="dxa"/>
          </w:tcPr>
          <w:p w14:paraId="328E0CCA" w14:textId="77777777" w:rsidR="004F6D55" w:rsidRPr="00E109DF" w:rsidRDefault="004F6D55"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5C228C10" w14:textId="77777777" w:rsidTr="00A828FA">
        <w:tc>
          <w:tcPr>
            <w:tcW w:w="5798" w:type="dxa"/>
            <w:gridSpan w:val="3"/>
          </w:tcPr>
          <w:p w14:paraId="621989C5"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8C72D53"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F6D55" w:rsidRPr="009872F3" w14:paraId="0052FC85" w14:textId="77777777" w:rsidTr="00A828FA">
        <w:tc>
          <w:tcPr>
            <w:tcW w:w="5798" w:type="dxa"/>
            <w:gridSpan w:val="3"/>
          </w:tcPr>
          <w:p w14:paraId="34642385" w14:textId="77777777" w:rsidR="004F6D55" w:rsidRPr="00C1307E" w:rsidRDefault="004F6D55"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sidR="00ED7673" w:rsidRPr="002E5C20">
              <w:rPr>
                <w:rFonts w:ascii="Arial" w:hAnsi="Arial" w:cs="Arial"/>
                <w:sz w:val="18"/>
                <w:szCs w:val="18"/>
                <w:highlight w:val="yellow"/>
              </w:rPr>
              <w:t>Konsumkrediten und anderen</w:t>
            </w:r>
            <w:r w:rsidR="00ED7673">
              <w:rPr>
                <w:rFonts w:ascii="Arial" w:hAnsi="Arial" w:cs="Arial"/>
                <w:sz w:val="18"/>
                <w:szCs w:val="18"/>
              </w:rPr>
              <w:t xml:space="preserve"> unbesicherten Krediten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w:t>
            </w:r>
            <w:r w:rsidR="0050402B">
              <w:rPr>
                <w:rFonts w:ascii="Arial" w:hAnsi="Arial" w:cs="Arial"/>
                <w:sz w:val="18"/>
                <w:szCs w:val="18"/>
              </w:rPr>
              <w:t>fung effektiv angewendet wurden</w:t>
            </w:r>
            <w:r w:rsidRPr="00C1307E">
              <w:rPr>
                <w:rFonts w:ascii="Arial" w:hAnsi="Arial" w:cs="Arial"/>
                <w:sz w:val="18"/>
                <w:szCs w:val="18"/>
              </w:rPr>
              <w:t xml:space="preserve">. </w:t>
            </w:r>
          </w:p>
        </w:tc>
        <w:tc>
          <w:tcPr>
            <w:tcW w:w="3382" w:type="dxa"/>
          </w:tcPr>
          <w:p w14:paraId="00B379C4" w14:textId="77777777" w:rsidR="004F6D55" w:rsidRPr="009872F3" w:rsidRDefault="004F6D55"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AAE2328" w14:textId="77777777" w:rsidR="004F6D55" w:rsidRPr="00CE3194" w:rsidRDefault="004F6D55" w:rsidP="004F6D5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4F6D55" w:rsidRPr="00CE3194" w14:paraId="298BECB7" w14:textId="77777777" w:rsidTr="00A828FA">
        <w:tc>
          <w:tcPr>
            <w:tcW w:w="2660" w:type="dxa"/>
          </w:tcPr>
          <w:p w14:paraId="55877448"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884CBD1" w14:textId="77777777" w:rsidR="004F6D55" w:rsidRPr="00CE3194" w:rsidRDefault="004F6D55"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4F6D55" w:rsidRPr="00CE3194" w14:paraId="46AF0C2C" w14:textId="77777777" w:rsidTr="00A828FA">
        <w:tc>
          <w:tcPr>
            <w:tcW w:w="2660" w:type="dxa"/>
          </w:tcPr>
          <w:p w14:paraId="7804EF8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06555EB" w14:textId="77777777" w:rsidR="0050402B" w:rsidRDefault="0050402B" w:rsidP="0050402B">
            <w:pPr>
              <w:jc w:val="both"/>
              <w:rPr>
                <w:rFonts w:ascii="Arial" w:hAnsi="Arial" w:cs="Arial"/>
                <w:i/>
                <w:sz w:val="20"/>
                <w:szCs w:val="20"/>
                <w:highlight w:val="lightGray"/>
              </w:rPr>
            </w:pPr>
          </w:p>
          <w:p w14:paraId="7A9E16C6" w14:textId="77777777" w:rsidR="004F6D55"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DDC9441"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323051DD"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2C1535F" w14:textId="6366965F"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DA80CF2"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3058AE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5361DE6" w14:textId="77777777" w:rsidTr="00A828FA">
        <w:tc>
          <w:tcPr>
            <w:tcW w:w="2660" w:type="dxa"/>
          </w:tcPr>
          <w:p w14:paraId="4472D3A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42F1F3E" w14:textId="77777777" w:rsidR="0074539F" w:rsidRPr="00CE3194" w:rsidRDefault="0074539F" w:rsidP="00A828FA">
            <w:pPr>
              <w:jc w:val="both"/>
              <w:rPr>
                <w:rFonts w:ascii="Arial" w:hAnsi="Arial" w:cs="Arial"/>
                <w:i/>
                <w:sz w:val="20"/>
                <w:szCs w:val="20"/>
                <w:highlight w:val="lightGray"/>
              </w:rPr>
            </w:pPr>
          </w:p>
        </w:tc>
        <w:tc>
          <w:tcPr>
            <w:tcW w:w="6520" w:type="dxa"/>
          </w:tcPr>
          <w:p w14:paraId="1ECE3204" w14:textId="15EF685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67618889" w14:textId="71A3B385"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3BFDBBE" w14:textId="302ADC9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25DD80D"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4F6D55" w14:paraId="09948845" w14:textId="77777777" w:rsidTr="00A828FA">
        <w:tc>
          <w:tcPr>
            <w:tcW w:w="2660" w:type="dxa"/>
          </w:tcPr>
          <w:p w14:paraId="7825DCB7" w14:textId="77777777" w:rsidR="004F6D55" w:rsidRDefault="004F6D55"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F91425A" w14:textId="1A180AF1"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380AE2" w:rsidRPr="00380AE2">
              <w:rPr>
                <w:rFonts w:cs="Arial"/>
                <w:i/>
                <w:szCs w:val="20"/>
              </w:rPr>
              <w:t xml:space="preserve"> </w:t>
            </w:r>
            <w:r w:rsidR="00BC1DBA">
              <w:rPr>
                <w:rFonts w:cs="Arial"/>
                <w:i/>
                <w:szCs w:val="20"/>
                <w:highlight w:val="lightGray"/>
              </w:rPr>
              <w:t>dabei werden auch ESG-Risikofaktoren angemessen berücksichtigt.</w:t>
            </w:r>
          </w:p>
          <w:p w14:paraId="62AB69DC"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508FDBA"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4FABC7D" w14:textId="77777777" w:rsidR="004F6D55" w:rsidRPr="00CE3194" w:rsidRDefault="004F6D55"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452195D" w14:textId="77777777" w:rsidR="004F6D55" w:rsidRPr="005B66F8" w:rsidRDefault="004F6D55"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21DBAD0" w14:textId="1C834D11"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lastRenderedPageBreak/>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223C7637" w14:textId="77777777" w:rsidR="004F6D55" w:rsidRDefault="004F6D55" w:rsidP="00CB3EE6">
      <w:pPr>
        <w:jc w:val="both"/>
      </w:pPr>
    </w:p>
    <w:p w14:paraId="048FE9D6"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00A5FA8" w14:textId="77777777" w:rsidR="00E70DF4" w:rsidRDefault="00E70DF4" w:rsidP="00CB3EE6">
      <w:pPr>
        <w:jc w:val="both"/>
      </w:pPr>
    </w:p>
    <w:p w14:paraId="49046A40" w14:textId="77777777" w:rsidR="004F6D55" w:rsidRPr="006067FE" w:rsidRDefault="004F6D55" w:rsidP="00CB3EE6">
      <w:pPr>
        <w:jc w:val="both"/>
      </w:pPr>
    </w:p>
    <w:p w14:paraId="496CF842" w14:textId="77777777" w:rsidR="000D36E0" w:rsidRPr="006730AC" w:rsidRDefault="006067FE" w:rsidP="006F7AB5">
      <w:pPr>
        <w:pStyle w:val="FINMAGliederungEbene3"/>
        <w:rPr>
          <w:szCs w:val="20"/>
        </w:rPr>
      </w:pPr>
      <w:bookmarkStart w:id="24" w:name="_Toc216425773"/>
      <w:r w:rsidRPr="006067FE">
        <w:t>Kreditrisiken / Gegenparteiausfallrisiken aus Derivattransaktionen</w:t>
      </w:r>
      <w:r w:rsidR="00543DCA">
        <w:t xml:space="preserve"> (GR-6)</w:t>
      </w:r>
      <w:bookmarkEnd w:id="24"/>
    </w:p>
    <w:p w14:paraId="747CE21A"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4A7FA17E" w14:textId="77777777" w:rsidTr="00A828FA">
        <w:trPr>
          <w:trHeight w:val="563"/>
        </w:trPr>
        <w:tc>
          <w:tcPr>
            <w:tcW w:w="1932" w:type="dxa"/>
          </w:tcPr>
          <w:p w14:paraId="75FAEF63"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6BE9131"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7D4D1C1"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16989DD4" w14:textId="77777777" w:rsidTr="00A828FA">
        <w:trPr>
          <w:trHeight w:val="698"/>
        </w:trPr>
        <w:tc>
          <w:tcPr>
            <w:tcW w:w="1932" w:type="dxa"/>
          </w:tcPr>
          <w:p w14:paraId="1D634A73" w14:textId="52871C36"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52BD1EE"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D215B1E"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3B18EEE"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DC4EBD8"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5930CA00" w14:textId="77777777" w:rsidTr="00A828FA">
        <w:trPr>
          <w:trHeight w:val="636"/>
        </w:trPr>
        <w:tc>
          <w:tcPr>
            <w:tcW w:w="9180" w:type="dxa"/>
            <w:gridSpan w:val="4"/>
          </w:tcPr>
          <w:p w14:paraId="77EB981E" w14:textId="77777777" w:rsidR="00ED7673" w:rsidRDefault="00ED7673" w:rsidP="00A828FA">
            <w:pPr>
              <w:jc w:val="both"/>
              <w:rPr>
                <w:rFonts w:ascii="Arial" w:hAnsi="Arial" w:cs="Arial"/>
                <w:sz w:val="18"/>
                <w:szCs w:val="18"/>
              </w:rPr>
            </w:pPr>
          </w:p>
          <w:p w14:paraId="2437A964" w14:textId="77777777" w:rsidR="00ED7673" w:rsidRPr="00F60909" w:rsidRDefault="00ED7673"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66A29CA" w14:textId="2E80387D" w:rsidR="00ED7673" w:rsidRPr="009E4FE7" w:rsidRDefault="00582A28" w:rsidP="00A828FA">
            <w:pPr>
              <w:jc w:val="both"/>
              <w:rPr>
                <w:rFonts w:ascii="Arial" w:hAnsi="Arial" w:cs="Arial"/>
                <w:sz w:val="18"/>
                <w:szCs w:val="18"/>
                <w:highlight w:val="yellow"/>
              </w:rPr>
            </w:pPr>
            <w:r w:rsidRPr="009E4FE7">
              <w:rPr>
                <w:rFonts w:ascii="Arial" w:hAnsi="Arial" w:cs="Arial"/>
                <w:sz w:val="18"/>
                <w:szCs w:val="18"/>
                <w:highlight w:val="yellow"/>
              </w:rPr>
              <w:t xml:space="preserve">Art. 79 BankG; </w:t>
            </w:r>
            <w:r w:rsidR="00ED7673" w:rsidRPr="009E4FE7">
              <w:rPr>
                <w:rFonts w:ascii="Arial" w:hAnsi="Arial" w:cs="Arial"/>
                <w:sz w:val="18"/>
                <w:szCs w:val="18"/>
                <w:highlight w:val="yellow"/>
              </w:rPr>
              <w:t xml:space="preserve">Art. </w:t>
            </w:r>
            <w:r w:rsidR="007F0025" w:rsidRPr="009E4FE7">
              <w:rPr>
                <w:rFonts w:ascii="Arial" w:hAnsi="Arial" w:cs="Arial"/>
                <w:sz w:val="18"/>
                <w:szCs w:val="18"/>
                <w:highlight w:val="yellow"/>
              </w:rPr>
              <w:t>17</w:t>
            </w:r>
            <w:r w:rsidR="00ED7673" w:rsidRPr="009E4FE7">
              <w:rPr>
                <w:rFonts w:ascii="Arial" w:hAnsi="Arial" w:cs="Arial"/>
                <w:sz w:val="18"/>
                <w:szCs w:val="18"/>
                <w:highlight w:val="yellow"/>
              </w:rPr>
              <w:t xml:space="preserve"> BankV</w:t>
            </w:r>
            <w:r w:rsidR="00A938AE" w:rsidRPr="009E4FE7">
              <w:rPr>
                <w:rFonts w:ascii="Arial" w:hAnsi="Arial" w:cs="Arial"/>
                <w:sz w:val="18"/>
                <w:szCs w:val="18"/>
                <w:highlight w:val="yellow"/>
              </w:rPr>
              <w:t>,</w:t>
            </w:r>
            <w:r w:rsidR="00ED7673" w:rsidRPr="009E4FE7">
              <w:rPr>
                <w:rFonts w:ascii="Arial" w:hAnsi="Arial" w:cs="Arial"/>
                <w:sz w:val="18"/>
                <w:szCs w:val="18"/>
                <w:highlight w:val="yellow"/>
              </w:rPr>
              <w:t xml:space="preserve"> </w:t>
            </w:r>
            <w:r w:rsidR="00752F45" w:rsidRPr="009E4FE7">
              <w:rPr>
                <w:rFonts w:ascii="Arial" w:hAnsi="Arial" w:cs="Arial"/>
                <w:sz w:val="18"/>
                <w:szCs w:val="18"/>
                <w:highlight w:val="yellow"/>
              </w:rPr>
              <w:t>Art. 16 BankV</w:t>
            </w:r>
            <w:r w:rsidR="0021306E" w:rsidRPr="009E4FE7">
              <w:rPr>
                <w:rFonts w:ascii="Arial" w:hAnsi="Arial" w:cs="Arial"/>
                <w:sz w:val="18"/>
                <w:szCs w:val="18"/>
                <w:highlight w:val="yellow"/>
              </w:rPr>
              <w:t>, Art. 10-11 BankV,</w:t>
            </w:r>
          </w:p>
          <w:p w14:paraId="31D1D04C" w14:textId="1E197937" w:rsidR="00ED7673" w:rsidRPr="009872F3" w:rsidRDefault="00ED7673"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ED7673" w:rsidRPr="009872F3" w14:paraId="1BF9BC33" w14:textId="77777777" w:rsidTr="00A828FA">
        <w:trPr>
          <w:trHeight w:val="294"/>
        </w:trPr>
        <w:tc>
          <w:tcPr>
            <w:tcW w:w="9180" w:type="dxa"/>
            <w:gridSpan w:val="4"/>
          </w:tcPr>
          <w:p w14:paraId="3FC24C66" w14:textId="77777777" w:rsidR="00ED7673" w:rsidRPr="009872F3" w:rsidRDefault="00ED7673" w:rsidP="00A828FA">
            <w:pPr>
              <w:jc w:val="both"/>
              <w:rPr>
                <w:rFonts w:ascii="Arial" w:hAnsi="Arial" w:cs="Arial"/>
                <w:sz w:val="18"/>
                <w:szCs w:val="18"/>
              </w:rPr>
            </w:pPr>
          </w:p>
        </w:tc>
      </w:tr>
      <w:tr w:rsidR="00ED7673" w:rsidRPr="009872F3" w14:paraId="1B3496C7" w14:textId="77777777" w:rsidTr="00A828FA">
        <w:tc>
          <w:tcPr>
            <w:tcW w:w="5798" w:type="dxa"/>
            <w:gridSpan w:val="3"/>
          </w:tcPr>
          <w:p w14:paraId="56B5AD85"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aus Derivattransaktionen</w:t>
            </w:r>
            <w:r w:rsidRPr="00C1307E">
              <w:rPr>
                <w:rFonts w:ascii="Arial" w:hAnsi="Arial" w:cs="Arial"/>
                <w:sz w:val="18"/>
                <w:szCs w:val="18"/>
              </w:rPr>
              <w:t xml:space="preserve"> angemessen ausgestaltet ist.</w:t>
            </w:r>
          </w:p>
        </w:tc>
        <w:tc>
          <w:tcPr>
            <w:tcW w:w="3382" w:type="dxa"/>
          </w:tcPr>
          <w:p w14:paraId="12CE9B9D"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C5EB70D" w14:textId="77777777" w:rsidTr="00A828FA">
        <w:tc>
          <w:tcPr>
            <w:tcW w:w="5798" w:type="dxa"/>
            <w:gridSpan w:val="3"/>
          </w:tcPr>
          <w:p w14:paraId="4B89015F"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Derivattransaktionen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2067260"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7216C160" w14:textId="77777777" w:rsidTr="00A828FA">
        <w:tc>
          <w:tcPr>
            <w:tcW w:w="5798" w:type="dxa"/>
            <w:gridSpan w:val="3"/>
          </w:tcPr>
          <w:p w14:paraId="48A12FF6"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Derivattransaktionen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B9B9B8"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E05718A"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3748DE6B" w14:textId="77777777" w:rsidTr="00A828FA">
        <w:tc>
          <w:tcPr>
            <w:tcW w:w="2660" w:type="dxa"/>
          </w:tcPr>
          <w:p w14:paraId="61E1AA1A"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4781BC"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6E3C6544" w14:textId="77777777" w:rsidTr="00A828FA">
        <w:tc>
          <w:tcPr>
            <w:tcW w:w="2660" w:type="dxa"/>
          </w:tcPr>
          <w:p w14:paraId="01896F8A"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88AB3F" w14:textId="77777777" w:rsidR="0050402B" w:rsidRDefault="0050402B" w:rsidP="0050402B">
            <w:pPr>
              <w:jc w:val="both"/>
              <w:rPr>
                <w:rFonts w:ascii="Arial" w:hAnsi="Arial" w:cs="Arial"/>
                <w:i/>
                <w:sz w:val="20"/>
                <w:szCs w:val="20"/>
                <w:highlight w:val="lightGray"/>
              </w:rPr>
            </w:pPr>
          </w:p>
          <w:p w14:paraId="661E4682"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283DE87"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7FCB56A"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4C86B38" w14:textId="08171D68"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7C5F04E"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FA09337"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78E4ED5" w14:textId="77777777" w:rsidTr="00A828FA">
        <w:tc>
          <w:tcPr>
            <w:tcW w:w="2660" w:type="dxa"/>
          </w:tcPr>
          <w:p w14:paraId="1E05DC1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1D81D1D" w14:textId="77777777" w:rsidR="0074539F" w:rsidRPr="00CE3194" w:rsidRDefault="0074539F" w:rsidP="00A828FA">
            <w:pPr>
              <w:jc w:val="both"/>
              <w:rPr>
                <w:rFonts w:ascii="Arial" w:hAnsi="Arial" w:cs="Arial"/>
                <w:i/>
                <w:sz w:val="20"/>
                <w:szCs w:val="20"/>
                <w:highlight w:val="lightGray"/>
              </w:rPr>
            </w:pPr>
          </w:p>
        </w:tc>
        <w:tc>
          <w:tcPr>
            <w:tcW w:w="6520" w:type="dxa"/>
          </w:tcPr>
          <w:p w14:paraId="3AE1D06E" w14:textId="13E9D67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405DF36" w14:textId="379C1ECD"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050C686" w14:textId="7B566CE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65DCED73"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6A51374D" w14:textId="77777777" w:rsidTr="00A828FA">
        <w:tc>
          <w:tcPr>
            <w:tcW w:w="2660" w:type="dxa"/>
          </w:tcPr>
          <w:p w14:paraId="59733D75"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09A9EA" w14:textId="47F5D682"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4EC84BE0"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Annahmen und Parameter des Risikomanagements werden regelmässig validiert;</w:t>
            </w:r>
          </w:p>
          <w:p w14:paraId="7513B05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F61870D"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2E6D16F"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B86B818" w14:textId="0CD55DB6"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48C362DC" w14:textId="77777777" w:rsidR="00ED7673" w:rsidRDefault="00ED7673" w:rsidP="00CB3EE6">
      <w:pPr>
        <w:jc w:val="both"/>
        <w:rPr>
          <w:rFonts w:cs="Arial"/>
          <w:szCs w:val="20"/>
        </w:rPr>
      </w:pPr>
    </w:p>
    <w:p w14:paraId="0AB45C4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443E448" w14:textId="77777777" w:rsidR="00E70DF4" w:rsidRDefault="00E70DF4" w:rsidP="00CB3EE6">
      <w:pPr>
        <w:jc w:val="both"/>
        <w:rPr>
          <w:rFonts w:cs="Arial"/>
          <w:szCs w:val="20"/>
        </w:rPr>
      </w:pPr>
    </w:p>
    <w:p w14:paraId="7B99809C" w14:textId="77777777" w:rsidR="00ED7673" w:rsidRPr="006730AC" w:rsidRDefault="00ED7673" w:rsidP="00CB3EE6">
      <w:pPr>
        <w:jc w:val="both"/>
        <w:rPr>
          <w:rFonts w:cs="Arial"/>
          <w:szCs w:val="20"/>
        </w:rPr>
      </w:pPr>
    </w:p>
    <w:p w14:paraId="4AE7D470" w14:textId="77777777" w:rsidR="006067FE" w:rsidRPr="006730AC" w:rsidRDefault="006067FE" w:rsidP="006F7AB5">
      <w:pPr>
        <w:pStyle w:val="FINMAGliederungEbene3"/>
      </w:pPr>
      <w:bookmarkStart w:id="25" w:name="_Toc216425774"/>
      <w:r w:rsidRPr="006067FE">
        <w:t>Kreditrisiken / Gegenparteiausfallrisiken aus Abwicklungs- und Lieferrisiken</w:t>
      </w:r>
      <w:r w:rsidR="00543DCA">
        <w:t xml:space="preserve"> (GR-7)</w:t>
      </w:r>
      <w:bookmarkEnd w:id="25"/>
    </w:p>
    <w:p w14:paraId="3ACD9897"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4BBFF926" w14:textId="77777777" w:rsidTr="00A828FA">
        <w:trPr>
          <w:trHeight w:val="563"/>
        </w:trPr>
        <w:tc>
          <w:tcPr>
            <w:tcW w:w="1932" w:type="dxa"/>
          </w:tcPr>
          <w:p w14:paraId="7C63B2C4"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17CE0836"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61DAE9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60F7D5FD" w14:textId="77777777" w:rsidTr="00A828FA">
        <w:trPr>
          <w:trHeight w:val="698"/>
        </w:trPr>
        <w:tc>
          <w:tcPr>
            <w:tcW w:w="1932" w:type="dxa"/>
          </w:tcPr>
          <w:p w14:paraId="1EC61148" w14:textId="2452263A"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2F91AEE7"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2EFB32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8B3D6"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8D7FC54"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14979928" w14:textId="77777777" w:rsidTr="00A828FA">
        <w:trPr>
          <w:trHeight w:val="636"/>
        </w:trPr>
        <w:tc>
          <w:tcPr>
            <w:tcW w:w="9180" w:type="dxa"/>
            <w:gridSpan w:val="4"/>
          </w:tcPr>
          <w:p w14:paraId="1ED942F3" w14:textId="77777777" w:rsidR="00ED7673" w:rsidRDefault="00ED7673" w:rsidP="00A828FA">
            <w:pPr>
              <w:jc w:val="both"/>
              <w:rPr>
                <w:rFonts w:ascii="Arial" w:hAnsi="Arial" w:cs="Arial"/>
                <w:sz w:val="18"/>
                <w:szCs w:val="18"/>
              </w:rPr>
            </w:pPr>
          </w:p>
          <w:p w14:paraId="0FEA174F" w14:textId="77777777" w:rsidR="00ED7673" w:rsidRPr="00F60909" w:rsidRDefault="00ED7673" w:rsidP="00A828F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0833511" w14:textId="046FE519" w:rsidR="00ED7673" w:rsidRPr="009872F3" w:rsidRDefault="007F0025" w:rsidP="00A828FA">
            <w:pPr>
              <w:jc w:val="both"/>
              <w:rPr>
                <w:rFonts w:ascii="Arial" w:hAnsi="Arial" w:cs="Arial"/>
                <w:sz w:val="18"/>
                <w:szCs w:val="18"/>
              </w:rPr>
            </w:pPr>
            <w:r w:rsidRPr="00847614">
              <w:rPr>
                <w:rFonts w:ascii="Arial" w:hAnsi="Arial" w:cs="Arial"/>
                <w:sz w:val="18"/>
                <w:szCs w:val="18"/>
                <w:highlight w:val="yellow"/>
              </w:rPr>
              <w:t>Art. 79</w:t>
            </w:r>
            <w:r w:rsidRPr="0067573A">
              <w:rPr>
                <w:rFonts w:ascii="Arial" w:hAnsi="Arial" w:cs="Arial"/>
                <w:sz w:val="18"/>
                <w:szCs w:val="18"/>
                <w:highlight w:val="yellow"/>
              </w:rPr>
              <w:t xml:space="preserve"> BankG; Art. 17 BankV</w:t>
            </w:r>
            <w:r w:rsidR="00A938AE">
              <w:rPr>
                <w:rFonts w:ascii="Arial" w:hAnsi="Arial" w:cs="Arial"/>
                <w:sz w:val="18"/>
                <w:szCs w:val="18"/>
                <w:highlight w:val="yellow"/>
              </w:rPr>
              <w:t>,</w:t>
            </w:r>
            <w:r w:rsidRPr="00D73C86" w:rsidDel="007F0025">
              <w:rPr>
                <w:rFonts w:ascii="Arial" w:hAnsi="Arial" w:cs="Arial"/>
                <w:sz w:val="18"/>
                <w:szCs w:val="18"/>
                <w:highlight w:val="yellow"/>
              </w:rPr>
              <w:t xml:space="preserve"> </w:t>
            </w:r>
            <w:r w:rsidR="00752F45" w:rsidRPr="00DC249D">
              <w:rPr>
                <w:rFonts w:ascii="Arial" w:hAnsi="Arial" w:cs="Arial"/>
                <w:sz w:val="18"/>
                <w:szCs w:val="18"/>
                <w:highlight w:val="yellow"/>
              </w:rPr>
              <w:t>Art. 16 BankV</w:t>
            </w:r>
            <w:r w:rsidR="0021306E" w:rsidRPr="00A938AE">
              <w:rPr>
                <w:rFonts w:ascii="Arial" w:hAnsi="Arial" w:cs="Arial"/>
                <w:sz w:val="18"/>
                <w:szCs w:val="18"/>
                <w:highlight w:val="yellow"/>
              </w:rPr>
              <w:t xml:space="preserve">, </w:t>
            </w:r>
            <w:r w:rsidR="0021306E" w:rsidRPr="00847614">
              <w:rPr>
                <w:rFonts w:ascii="Arial" w:hAnsi="Arial" w:cs="Arial"/>
                <w:sz w:val="18"/>
                <w:szCs w:val="18"/>
                <w:highlight w:val="yellow"/>
              </w:rPr>
              <w:t>Art. 10-11 BankV</w:t>
            </w:r>
            <w:r w:rsidR="00A938AE">
              <w:rPr>
                <w:rFonts w:ascii="Arial" w:hAnsi="Arial" w:cs="Arial"/>
                <w:sz w:val="18"/>
                <w:szCs w:val="18"/>
                <w:highlight w:val="yellow"/>
              </w:rPr>
              <w:t xml:space="preserve">, </w:t>
            </w:r>
            <w:r w:rsidR="00ED7673" w:rsidRPr="00CB3EE6">
              <w:rPr>
                <w:rFonts w:ascii="Arial" w:hAnsi="Arial" w:cs="Arial"/>
                <w:sz w:val="18"/>
                <w:szCs w:val="18"/>
                <w:highlight w:val="yellow"/>
              </w:rPr>
              <w:t>FMA-Mitteilung 2017/4 (inkl. regulatorische Grundlagen im Anhang); Art. 378 Verordnung (EU)</w:t>
            </w:r>
            <w:r w:rsidR="00ED7673">
              <w:rPr>
                <w:rFonts w:ascii="Arial" w:hAnsi="Arial" w:cs="Arial"/>
                <w:sz w:val="18"/>
                <w:szCs w:val="18"/>
                <w:highlight w:val="yellow"/>
              </w:rPr>
              <w:t xml:space="preserve"> Nr.</w:t>
            </w:r>
            <w:r w:rsidR="00ED7673" w:rsidRPr="00CB3EE6">
              <w:rPr>
                <w:rFonts w:ascii="Arial" w:hAnsi="Arial" w:cs="Arial"/>
                <w:sz w:val="18"/>
                <w:szCs w:val="18"/>
                <w:highlight w:val="yellow"/>
              </w:rPr>
              <w:t xml:space="preserve"> 575/2013</w:t>
            </w:r>
            <w:r w:rsidR="009E273B">
              <w:rPr>
                <w:rFonts w:ascii="Arial" w:hAnsi="Arial" w:cs="Arial"/>
                <w:sz w:val="18"/>
                <w:szCs w:val="18"/>
                <w:highlight w:val="yellow"/>
              </w:rPr>
              <w:t>; EBA/GL/2021/05</w:t>
            </w:r>
          </w:p>
        </w:tc>
      </w:tr>
      <w:tr w:rsidR="00ED7673" w:rsidRPr="009872F3" w14:paraId="764E1D3D" w14:textId="77777777" w:rsidTr="00A828FA">
        <w:trPr>
          <w:trHeight w:val="294"/>
        </w:trPr>
        <w:tc>
          <w:tcPr>
            <w:tcW w:w="9180" w:type="dxa"/>
            <w:gridSpan w:val="4"/>
          </w:tcPr>
          <w:p w14:paraId="16DB4E0E" w14:textId="77777777" w:rsidR="00ED7673" w:rsidRPr="009872F3" w:rsidRDefault="00ED7673" w:rsidP="00A828FA">
            <w:pPr>
              <w:jc w:val="both"/>
              <w:rPr>
                <w:rFonts w:ascii="Arial" w:hAnsi="Arial" w:cs="Arial"/>
                <w:sz w:val="18"/>
                <w:szCs w:val="18"/>
              </w:rPr>
            </w:pPr>
          </w:p>
        </w:tc>
      </w:tr>
      <w:tr w:rsidR="00ED7673" w:rsidRPr="009872F3" w14:paraId="033D09E4" w14:textId="77777777" w:rsidTr="00A828FA">
        <w:tc>
          <w:tcPr>
            <w:tcW w:w="5798" w:type="dxa"/>
            <w:gridSpan w:val="3"/>
          </w:tcPr>
          <w:p w14:paraId="2DC4A92B"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aus Abwicklungs- und Lieferrisiken</w:t>
            </w:r>
            <w:r w:rsidRPr="00C1307E">
              <w:rPr>
                <w:rFonts w:ascii="Arial" w:hAnsi="Arial" w:cs="Arial"/>
                <w:sz w:val="18"/>
                <w:szCs w:val="18"/>
              </w:rPr>
              <w:t xml:space="preserve"> angemessen ausgestaltet ist.</w:t>
            </w:r>
          </w:p>
        </w:tc>
        <w:tc>
          <w:tcPr>
            <w:tcW w:w="3382" w:type="dxa"/>
          </w:tcPr>
          <w:p w14:paraId="6C9AA1C6"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AC5DF7F" w14:textId="77777777" w:rsidTr="00A828FA">
        <w:tc>
          <w:tcPr>
            <w:tcW w:w="5798" w:type="dxa"/>
            <w:gridSpan w:val="3"/>
          </w:tcPr>
          <w:p w14:paraId="57B1251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Pr>
                <w:rFonts w:ascii="Arial" w:hAnsi="Arial" w:cs="Arial"/>
                <w:sz w:val="18"/>
                <w:szCs w:val="18"/>
              </w:rPr>
              <w:t xml:space="preserve">Abwicklungs- und Lieferrisiken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1E935E8"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2D656039" w14:textId="77777777" w:rsidTr="00A828FA">
        <w:tc>
          <w:tcPr>
            <w:tcW w:w="5798" w:type="dxa"/>
            <w:gridSpan w:val="3"/>
          </w:tcPr>
          <w:p w14:paraId="041BD94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Pr>
                <w:rFonts w:ascii="Arial" w:hAnsi="Arial" w:cs="Arial"/>
                <w:sz w:val="18"/>
                <w:szCs w:val="18"/>
              </w:rPr>
              <w:t>Abwicklungs- und Lieferrisiken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B6BB0AB"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52924DA"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69D46C90" w14:textId="77777777" w:rsidTr="00A828FA">
        <w:tc>
          <w:tcPr>
            <w:tcW w:w="2660" w:type="dxa"/>
          </w:tcPr>
          <w:p w14:paraId="3677973D"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4F1C30C"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0F0B6D0A" w14:textId="77777777" w:rsidTr="00A828FA">
        <w:tc>
          <w:tcPr>
            <w:tcW w:w="2660" w:type="dxa"/>
          </w:tcPr>
          <w:p w14:paraId="1555BBEA"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516AD31" w14:textId="77777777" w:rsidR="0050402B" w:rsidRDefault="0050402B" w:rsidP="0050402B">
            <w:pPr>
              <w:jc w:val="both"/>
              <w:rPr>
                <w:rFonts w:ascii="Arial" w:hAnsi="Arial" w:cs="Arial"/>
                <w:i/>
                <w:sz w:val="20"/>
                <w:szCs w:val="20"/>
                <w:highlight w:val="lightGray"/>
              </w:rPr>
            </w:pPr>
          </w:p>
          <w:p w14:paraId="21FEF896"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4D93466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6014BFE"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ACD0FF0" w14:textId="5D6D344E"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7E93AA9"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97C426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9A2DCAB" w14:textId="77777777" w:rsidTr="00A828FA">
        <w:tc>
          <w:tcPr>
            <w:tcW w:w="2660" w:type="dxa"/>
          </w:tcPr>
          <w:p w14:paraId="4462DE6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FFA804A" w14:textId="77777777" w:rsidR="0074539F" w:rsidRPr="00CE3194" w:rsidRDefault="0074539F" w:rsidP="00A828FA">
            <w:pPr>
              <w:jc w:val="both"/>
              <w:rPr>
                <w:rFonts w:ascii="Arial" w:hAnsi="Arial" w:cs="Arial"/>
                <w:i/>
                <w:sz w:val="20"/>
                <w:szCs w:val="20"/>
                <w:highlight w:val="lightGray"/>
              </w:rPr>
            </w:pPr>
          </w:p>
        </w:tc>
        <w:tc>
          <w:tcPr>
            <w:tcW w:w="6520" w:type="dxa"/>
          </w:tcPr>
          <w:p w14:paraId="6818682E" w14:textId="6D48336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B6189A0" w14:textId="417C765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7E97B98" w14:textId="5ED4D7E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337401A"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7E92FCCF" w14:textId="77777777" w:rsidTr="00A828FA">
        <w:tc>
          <w:tcPr>
            <w:tcW w:w="2660" w:type="dxa"/>
          </w:tcPr>
          <w:p w14:paraId="07F860F2"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5EABC8B4" w14:textId="1FE1164C"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7F3F8258"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2786BD2"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0CD28E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C6AC7B"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9A65EE2" w14:textId="05E821C1" w:rsidR="00916839" w:rsidRDefault="00916839" w:rsidP="003D4AD9">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67F98303" w14:textId="77777777" w:rsidR="00ED7673" w:rsidRDefault="00ED7673" w:rsidP="00CB3EE6">
      <w:pPr>
        <w:jc w:val="both"/>
        <w:rPr>
          <w:rFonts w:cs="Arial"/>
          <w:szCs w:val="20"/>
        </w:rPr>
      </w:pPr>
    </w:p>
    <w:p w14:paraId="6A2406F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32D369D" w14:textId="77777777" w:rsidR="00E70DF4" w:rsidRDefault="00E70DF4" w:rsidP="00CB3EE6">
      <w:pPr>
        <w:jc w:val="both"/>
        <w:rPr>
          <w:rFonts w:cs="Arial"/>
          <w:szCs w:val="20"/>
        </w:rPr>
      </w:pPr>
    </w:p>
    <w:p w14:paraId="7894CD91" w14:textId="77777777" w:rsidR="00ED7673" w:rsidRPr="006730AC" w:rsidRDefault="00ED7673" w:rsidP="00CB3EE6">
      <w:pPr>
        <w:jc w:val="both"/>
        <w:rPr>
          <w:rFonts w:cs="Arial"/>
          <w:szCs w:val="20"/>
        </w:rPr>
      </w:pPr>
    </w:p>
    <w:p w14:paraId="7F9F3E24" w14:textId="35639300" w:rsidR="006067FE" w:rsidRPr="002E5C20" w:rsidRDefault="00764E6A" w:rsidP="006F7AB5">
      <w:pPr>
        <w:pStyle w:val="FINMAGliederungEbene3"/>
        <w:rPr>
          <w:highlight w:val="yellow"/>
        </w:rPr>
      </w:pPr>
      <w:bookmarkStart w:id="26" w:name="_Toc216425775"/>
      <w:r w:rsidRPr="002E5C20">
        <w:rPr>
          <w:highlight w:val="yellow"/>
        </w:rPr>
        <w:t>[</w:t>
      </w:r>
      <w:r w:rsidR="006067FE" w:rsidRPr="002E5C20">
        <w:rPr>
          <w:highlight w:val="yellow"/>
        </w:rPr>
        <w:t xml:space="preserve">Weitere Kreditrisiken von der </w:t>
      </w:r>
      <w:r w:rsidR="009F1ACA">
        <w:rPr>
          <w:i/>
          <w:szCs w:val="20"/>
          <w:highlight w:val="lightGray"/>
        </w:rPr>
        <w:t>Revisionsstelle</w:t>
      </w:r>
      <w:r w:rsidR="006067FE" w:rsidRPr="002E5C20">
        <w:rPr>
          <w:highlight w:val="yellow"/>
        </w:rPr>
        <w:t xml:space="preserve"> zu definieren</w:t>
      </w:r>
      <w:r w:rsidRPr="002E5C20">
        <w:rPr>
          <w:highlight w:val="yellow"/>
        </w:rPr>
        <w:t>]</w:t>
      </w:r>
      <w:r w:rsidR="00543DCA" w:rsidRPr="002E5C20">
        <w:rPr>
          <w:highlight w:val="yellow"/>
        </w:rPr>
        <w:t xml:space="preserve"> (GR-8)</w:t>
      </w:r>
      <w:bookmarkEnd w:id="26"/>
    </w:p>
    <w:p w14:paraId="1B1FF5C6"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0D4F746B" w14:textId="77777777" w:rsidTr="00A828FA">
        <w:trPr>
          <w:trHeight w:val="563"/>
        </w:trPr>
        <w:tc>
          <w:tcPr>
            <w:tcW w:w="1932" w:type="dxa"/>
          </w:tcPr>
          <w:p w14:paraId="342468CC"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3D538F7"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F75A4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02D55CDD" w14:textId="77777777" w:rsidTr="00A828FA">
        <w:trPr>
          <w:trHeight w:val="698"/>
        </w:trPr>
        <w:tc>
          <w:tcPr>
            <w:tcW w:w="1932" w:type="dxa"/>
          </w:tcPr>
          <w:p w14:paraId="3C31F4CE" w14:textId="7E91340B"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38944B2"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1D53E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428ACB2"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775F217"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2B648E6C" w14:textId="77777777" w:rsidTr="00A828FA">
        <w:trPr>
          <w:trHeight w:val="636"/>
        </w:trPr>
        <w:tc>
          <w:tcPr>
            <w:tcW w:w="9180" w:type="dxa"/>
            <w:gridSpan w:val="4"/>
          </w:tcPr>
          <w:p w14:paraId="4E582B2E" w14:textId="77777777" w:rsidR="00ED7673" w:rsidRDefault="00ED7673" w:rsidP="00A828FA">
            <w:pPr>
              <w:jc w:val="both"/>
              <w:rPr>
                <w:rFonts w:ascii="Arial" w:hAnsi="Arial" w:cs="Arial"/>
                <w:sz w:val="18"/>
                <w:szCs w:val="18"/>
              </w:rPr>
            </w:pPr>
          </w:p>
          <w:p w14:paraId="277D5397" w14:textId="77777777" w:rsidR="00ED7673" w:rsidRDefault="00ED7673" w:rsidP="006730AC">
            <w:pPr>
              <w:jc w:val="both"/>
              <w:rPr>
                <w:rFonts w:ascii="Arial" w:hAnsi="Arial" w:cs="Arial"/>
                <w:sz w:val="18"/>
                <w:szCs w:val="18"/>
              </w:rPr>
            </w:pPr>
            <w:r>
              <w:rPr>
                <w:rFonts w:ascii="Arial" w:hAnsi="Arial" w:cs="Arial"/>
                <w:sz w:val="18"/>
                <w:szCs w:val="18"/>
              </w:rPr>
              <w:t>Referenzen:</w:t>
            </w:r>
          </w:p>
          <w:p w14:paraId="0DFC841A" w14:textId="77777777" w:rsidR="00ED7673" w:rsidRPr="009872F3" w:rsidRDefault="00ED7673" w:rsidP="006730AC">
            <w:pPr>
              <w:jc w:val="both"/>
              <w:rPr>
                <w:rFonts w:ascii="Arial" w:hAnsi="Arial" w:cs="Arial"/>
                <w:sz w:val="18"/>
                <w:szCs w:val="18"/>
              </w:rPr>
            </w:pPr>
            <w:r w:rsidRPr="00CB3EE6">
              <w:rPr>
                <w:rFonts w:ascii="Arial" w:hAnsi="Arial" w:cs="Arial"/>
                <w:sz w:val="18"/>
                <w:szCs w:val="18"/>
                <w:highlight w:val="yellow"/>
              </w:rPr>
              <w:t>tbd</w:t>
            </w:r>
          </w:p>
        </w:tc>
      </w:tr>
      <w:tr w:rsidR="00ED7673" w:rsidRPr="009872F3" w14:paraId="0165B3FD" w14:textId="77777777" w:rsidTr="00A828FA">
        <w:trPr>
          <w:trHeight w:val="294"/>
        </w:trPr>
        <w:tc>
          <w:tcPr>
            <w:tcW w:w="9180" w:type="dxa"/>
            <w:gridSpan w:val="4"/>
          </w:tcPr>
          <w:p w14:paraId="4BB888D2" w14:textId="77777777" w:rsidR="00ED7673" w:rsidRPr="009872F3" w:rsidRDefault="00ED7673" w:rsidP="00A828FA">
            <w:pPr>
              <w:jc w:val="both"/>
              <w:rPr>
                <w:rFonts w:ascii="Arial" w:hAnsi="Arial" w:cs="Arial"/>
                <w:sz w:val="18"/>
                <w:szCs w:val="18"/>
              </w:rPr>
            </w:pPr>
          </w:p>
        </w:tc>
      </w:tr>
      <w:tr w:rsidR="00ED7673" w:rsidRPr="009872F3" w14:paraId="3D550115" w14:textId="77777777" w:rsidTr="00A828FA">
        <w:tc>
          <w:tcPr>
            <w:tcW w:w="5798" w:type="dxa"/>
            <w:gridSpan w:val="3"/>
          </w:tcPr>
          <w:p w14:paraId="35B6A044"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Kreditrisiken / Gegenparteiausfallrisiken </w:t>
            </w:r>
            <w:r>
              <w:rPr>
                <w:rFonts w:ascii="Arial" w:hAnsi="Arial" w:cs="Arial"/>
                <w:sz w:val="18"/>
                <w:szCs w:val="18"/>
              </w:rPr>
              <w:t xml:space="preserve">aus </w:t>
            </w:r>
            <w:r w:rsidRPr="00CB3EE6">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A2F22C0"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011867D5" w14:textId="77777777" w:rsidTr="00A828FA">
        <w:tc>
          <w:tcPr>
            <w:tcW w:w="5798" w:type="dxa"/>
            <w:gridSpan w:val="3"/>
          </w:tcPr>
          <w:p w14:paraId="01175A99"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Kreditrisiken / Gegenparteiausfallrisiken aus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7FB5C7F"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1DD3E61A" w14:textId="77777777" w:rsidTr="00A828FA">
        <w:tc>
          <w:tcPr>
            <w:tcW w:w="5798" w:type="dxa"/>
            <w:gridSpan w:val="3"/>
          </w:tcPr>
          <w:p w14:paraId="2054006A"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Bestätigung, dass die Methoden zur Identifikation, Bewertung, Messung, Begrenzung, Überwachung und Steuerung von Kreditrisiken</w:t>
            </w:r>
            <w:r>
              <w:rPr>
                <w:rFonts w:ascii="Arial" w:hAnsi="Arial" w:cs="Arial"/>
                <w:sz w:val="18"/>
                <w:szCs w:val="18"/>
              </w:rPr>
              <w:t xml:space="preserve"> / Gegenparteiausfallrisiken</w:t>
            </w:r>
            <w:r w:rsidRPr="00C1307E">
              <w:rPr>
                <w:rFonts w:ascii="Arial" w:hAnsi="Arial" w:cs="Arial"/>
                <w:sz w:val="18"/>
                <w:szCs w:val="18"/>
              </w:rPr>
              <w:t xml:space="preserve"> aus </w:t>
            </w:r>
            <w:r w:rsidRPr="00276C60">
              <w:rPr>
                <w:rFonts w:ascii="Arial" w:hAnsi="Arial" w:cs="Arial"/>
                <w:sz w:val="18"/>
                <w:szCs w:val="18"/>
                <w:highlight w:val="yellow"/>
              </w:rPr>
              <w:t>[tbd]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1A0B887"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52F4783"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65B1A669" w14:textId="77777777" w:rsidTr="00A828FA">
        <w:tc>
          <w:tcPr>
            <w:tcW w:w="2660" w:type="dxa"/>
          </w:tcPr>
          <w:p w14:paraId="61D76526"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F50469D"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13F1D080" w14:textId="77777777" w:rsidTr="00A828FA">
        <w:tc>
          <w:tcPr>
            <w:tcW w:w="2660" w:type="dxa"/>
          </w:tcPr>
          <w:p w14:paraId="6B49FEE1"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C3FDCB" w14:textId="77777777" w:rsidR="0050402B" w:rsidRDefault="0050402B" w:rsidP="0050402B">
            <w:pPr>
              <w:jc w:val="both"/>
              <w:rPr>
                <w:rFonts w:ascii="Arial" w:hAnsi="Arial" w:cs="Arial"/>
                <w:i/>
                <w:sz w:val="20"/>
                <w:szCs w:val="20"/>
                <w:highlight w:val="lightGray"/>
              </w:rPr>
            </w:pPr>
          </w:p>
          <w:p w14:paraId="49EC188E"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0176E83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49B642CB"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02D38EA" w14:textId="0DDA0FA9"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1ED6624"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B7433BD"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2867A3EE" w14:textId="77777777" w:rsidTr="00A828FA">
        <w:tc>
          <w:tcPr>
            <w:tcW w:w="2660" w:type="dxa"/>
          </w:tcPr>
          <w:p w14:paraId="3ED8752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11121010" w14:textId="77777777" w:rsidR="0074539F" w:rsidRPr="00CE3194" w:rsidRDefault="0074539F" w:rsidP="00A828FA">
            <w:pPr>
              <w:jc w:val="both"/>
              <w:rPr>
                <w:rFonts w:ascii="Arial" w:hAnsi="Arial" w:cs="Arial"/>
                <w:i/>
                <w:sz w:val="20"/>
                <w:szCs w:val="20"/>
                <w:highlight w:val="lightGray"/>
              </w:rPr>
            </w:pPr>
          </w:p>
        </w:tc>
        <w:tc>
          <w:tcPr>
            <w:tcW w:w="6520" w:type="dxa"/>
          </w:tcPr>
          <w:p w14:paraId="7CFEFB91" w14:textId="75DAEF3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5D05EDFF" w14:textId="01977D79"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7884772" w14:textId="2BB52B7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5229CB43"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0968836A" w14:textId="77777777" w:rsidTr="00A828FA">
        <w:tc>
          <w:tcPr>
            <w:tcW w:w="2660" w:type="dxa"/>
          </w:tcPr>
          <w:p w14:paraId="2B08AC17"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6BEC4E7" w14:textId="6B183421"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r w:rsidR="00D95839">
              <w:rPr>
                <w:rFonts w:cs="Arial"/>
                <w:i/>
                <w:szCs w:val="20"/>
                <w:highlight w:val="lightGray"/>
              </w:rPr>
              <w:t xml:space="preserve"> insofern relevant.</w:t>
            </w:r>
          </w:p>
          <w:p w14:paraId="5F947D86"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EA072F1"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C666BA8"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4B79D38"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03CD949" w14:textId="59E73330"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r w:rsidR="00D95839" w:rsidRPr="00A938AE">
              <w:rPr>
                <w:rFonts w:cs="Arial"/>
                <w:i/>
                <w:szCs w:val="20"/>
                <w:highlight w:val="lightGray"/>
              </w:rPr>
              <w:t>, insofern relevant.</w:t>
            </w:r>
          </w:p>
        </w:tc>
      </w:tr>
    </w:tbl>
    <w:p w14:paraId="09862E56" w14:textId="77777777" w:rsidR="00ED7673" w:rsidRDefault="00ED7673" w:rsidP="00CB3EE6">
      <w:pPr>
        <w:jc w:val="both"/>
        <w:rPr>
          <w:rFonts w:cs="Arial"/>
          <w:szCs w:val="20"/>
        </w:rPr>
      </w:pPr>
    </w:p>
    <w:p w14:paraId="7BAC4EE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C5B5CC5" w14:textId="77777777" w:rsidR="00ED7673" w:rsidRDefault="00ED7673" w:rsidP="00CB3EE6">
      <w:pPr>
        <w:jc w:val="both"/>
        <w:rPr>
          <w:rFonts w:cs="Arial"/>
          <w:szCs w:val="20"/>
        </w:rPr>
      </w:pPr>
    </w:p>
    <w:p w14:paraId="7802A03E" w14:textId="77777777" w:rsidR="00E70DF4" w:rsidRPr="006730AC" w:rsidRDefault="00E70DF4" w:rsidP="00CB3EE6">
      <w:pPr>
        <w:jc w:val="both"/>
        <w:rPr>
          <w:rFonts w:cs="Arial"/>
          <w:szCs w:val="20"/>
        </w:rPr>
      </w:pPr>
    </w:p>
    <w:p w14:paraId="17CA70F3" w14:textId="77777777" w:rsidR="006067FE" w:rsidRPr="006730AC" w:rsidRDefault="006067FE" w:rsidP="006F7AB5">
      <w:pPr>
        <w:pStyle w:val="FINMAGliederungEbene3"/>
      </w:pPr>
      <w:bookmarkStart w:id="27" w:name="_Toc216425776"/>
      <w:r>
        <w:t>Marktrisiken: Handel von Finanzinstrumenten auf eigene Rechnung</w:t>
      </w:r>
      <w:r w:rsidR="00543DCA">
        <w:t xml:space="preserve"> (GR-9)</w:t>
      </w:r>
      <w:bookmarkEnd w:id="27"/>
    </w:p>
    <w:p w14:paraId="4C5BC8A8" w14:textId="77777777" w:rsidR="00ED7673" w:rsidRDefault="00ED7673"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ED7673" w:rsidRPr="009872F3" w14:paraId="54F99B0B" w14:textId="77777777" w:rsidTr="00A828FA">
        <w:trPr>
          <w:trHeight w:val="563"/>
        </w:trPr>
        <w:tc>
          <w:tcPr>
            <w:tcW w:w="1932" w:type="dxa"/>
          </w:tcPr>
          <w:p w14:paraId="782DBF94"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0E1B75D9"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E84BAA8"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D7673" w:rsidRPr="009872F3" w14:paraId="559CEA80" w14:textId="77777777" w:rsidTr="00A828FA">
        <w:trPr>
          <w:trHeight w:val="698"/>
        </w:trPr>
        <w:tc>
          <w:tcPr>
            <w:tcW w:w="1932" w:type="dxa"/>
          </w:tcPr>
          <w:p w14:paraId="06BDD0F0" w14:textId="781ADEC1"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3B0535CB" w14:textId="77777777" w:rsidR="00ED7673" w:rsidRPr="006749F0" w:rsidRDefault="00ED7673"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1ED85D6" w14:textId="77777777" w:rsidR="00ED7673" w:rsidRPr="009872F3" w:rsidRDefault="00ED7673"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0343B76" w14:textId="77777777" w:rsidR="00ED7673" w:rsidRDefault="00ED7673"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ED9D3BE" w14:textId="77777777" w:rsidR="00ED7673" w:rsidRPr="006749F0" w:rsidRDefault="00ED7673" w:rsidP="00A828FA">
            <w:pPr>
              <w:jc w:val="both"/>
              <w:rPr>
                <w:rFonts w:ascii="Arial" w:hAnsi="Arial" w:cs="Arial"/>
                <w:i/>
                <w:sz w:val="18"/>
                <w:szCs w:val="18"/>
              </w:rPr>
            </w:pPr>
            <w:r w:rsidRPr="006749F0">
              <w:rPr>
                <w:rFonts w:ascii="Arial" w:hAnsi="Arial" w:cs="Arial"/>
                <w:i/>
                <w:sz w:val="18"/>
                <w:szCs w:val="18"/>
                <w:highlight w:val="yellow"/>
              </w:rPr>
              <w:t>Jahr</w:t>
            </w:r>
          </w:p>
        </w:tc>
      </w:tr>
      <w:tr w:rsidR="00ED7673" w:rsidRPr="009872F3" w14:paraId="5E7FFEC8" w14:textId="77777777" w:rsidTr="00A828FA">
        <w:trPr>
          <w:trHeight w:val="636"/>
        </w:trPr>
        <w:tc>
          <w:tcPr>
            <w:tcW w:w="9180" w:type="dxa"/>
            <w:gridSpan w:val="4"/>
          </w:tcPr>
          <w:p w14:paraId="7FDD1F77" w14:textId="77777777" w:rsidR="00ED7673" w:rsidRDefault="00ED7673" w:rsidP="00A828FA">
            <w:pPr>
              <w:jc w:val="both"/>
              <w:rPr>
                <w:rFonts w:ascii="Arial" w:hAnsi="Arial" w:cs="Arial"/>
                <w:sz w:val="18"/>
                <w:szCs w:val="18"/>
              </w:rPr>
            </w:pPr>
          </w:p>
          <w:p w14:paraId="610D18CE" w14:textId="77777777" w:rsidR="00ED7673" w:rsidRDefault="00ED7673" w:rsidP="00A828FA">
            <w:pPr>
              <w:jc w:val="both"/>
              <w:rPr>
                <w:rFonts w:ascii="Arial" w:hAnsi="Arial" w:cs="Arial"/>
                <w:sz w:val="18"/>
                <w:szCs w:val="18"/>
              </w:rPr>
            </w:pPr>
            <w:r>
              <w:rPr>
                <w:rFonts w:ascii="Arial" w:hAnsi="Arial" w:cs="Arial"/>
                <w:sz w:val="18"/>
                <w:szCs w:val="18"/>
              </w:rPr>
              <w:t>Referenzen</w:t>
            </w:r>
            <w:r w:rsidR="000F657D">
              <w:rPr>
                <w:rFonts w:ascii="Arial" w:hAnsi="Arial" w:cs="Arial"/>
                <w:sz w:val="18"/>
                <w:szCs w:val="18"/>
              </w:rPr>
              <w:t xml:space="preserve"> </w:t>
            </w:r>
            <w:r w:rsidR="000F657D" w:rsidRPr="00F60909">
              <w:rPr>
                <w:rFonts w:ascii="Arial" w:hAnsi="Arial" w:cs="Arial"/>
                <w:sz w:val="18"/>
                <w:szCs w:val="18"/>
                <w:highlight w:val="yellow"/>
              </w:rPr>
              <w:t>(demonstrativ; nicht abschliessend</w:t>
            </w:r>
            <w:r>
              <w:rPr>
                <w:rFonts w:ascii="Arial" w:hAnsi="Arial" w:cs="Arial"/>
                <w:sz w:val="18"/>
                <w:szCs w:val="18"/>
              </w:rPr>
              <w:t>:</w:t>
            </w:r>
          </w:p>
          <w:p w14:paraId="4E7D8B59" w14:textId="546F110F" w:rsidR="000F657D" w:rsidRPr="009E4FE7" w:rsidRDefault="000F657D" w:rsidP="00A828FA">
            <w:pPr>
              <w:jc w:val="both"/>
              <w:rPr>
                <w:rFonts w:ascii="Arial" w:hAnsi="Arial" w:cs="Arial"/>
                <w:sz w:val="18"/>
                <w:szCs w:val="18"/>
                <w:highlight w:val="yellow"/>
              </w:rPr>
            </w:pPr>
            <w:r w:rsidRPr="009E4FE7">
              <w:rPr>
                <w:rFonts w:ascii="Arial" w:hAnsi="Arial" w:cs="Arial"/>
                <w:sz w:val="18"/>
                <w:szCs w:val="18"/>
                <w:highlight w:val="yellow"/>
              </w:rPr>
              <w:t>Art. 7</w:t>
            </w:r>
            <w:r w:rsidR="00E47486" w:rsidRPr="009E4FE7">
              <w:rPr>
                <w:rFonts w:ascii="Arial" w:hAnsi="Arial" w:cs="Arial"/>
                <w:sz w:val="18"/>
                <w:szCs w:val="18"/>
                <w:highlight w:val="yellow"/>
              </w:rPr>
              <w:t>9</w:t>
            </w:r>
            <w:r w:rsidRPr="009E4FE7">
              <w:rPr>
                <w:rFonts w:ascii="Arial" w:hAnsi="Arial" w:cs="Arial"/>
                <w:sz w:val="18"/>
                <w:szCs w:val="18"/>
                <w:highlight w:val="yellow"/>
              </w:rPr>
              <w:t xml:space="preserve"> BankG; Art. 21 BankV</w:t>
            </w:r>
            <w:r w:rsidR="00A938AE" w:rsidRPr="009E4FE7">
              <w:rPr>
                <w:rFonts w:ascii="Arial" w:hAnsi="Arial" w:cs="Arial"/>
                <w:sz w:val="18"/>
                <w:szCs w:val="18"/>
                <w:highlight w:val="yellow"/>
              </w:rPr>
              <w:t xml:space="preserve">, </w:t>
            </w:r>
            <w:r w:rsidR="00752F45" w:rsidRPr="009E4FE7">
              <w:rPr>
                <w:rFonts w:ascii="Arial" w:hAnsi="Arial" w:cs="Arial"/>
                <w:sz w:val="18"/>
                <w:szCs w:val="18"/>
                <w:highlight w:val="yellow"/>
              </w:rPr>
              <w:t>Art. 16 BankV</w:t>
            </w:r>
            <w:r w:rsidR="0021306E" w:rsidRPr="009E4FE7">
              <w:rPr>
                <w:rFonts w:ascii="Arial" w:hAnsi="Arial" w:cs="Arial"/>
                <w:sz w:val="18"/>
                <w:szCs w:val="18"/>
                <w:highlight w:val="yellow"/>
              </w:rPr>
              <w:t>, Art. 10-11 BankV,</w:t>
            </w:r>
          </w:p>
          <w:p w14:paraId="4157C07B" w14:textId="185B65D0" w:rsidR="00ED7673" w:rsidRPr="009872F3" w:rsidRDefault="000F657D"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ED7673" w:rsidRPr="009872F3" w14:paraId="08DE664D" w14:textId="77777777" w:rsidTr="00A828FA">
        <w:trPr>
          <w:trHeight w:val="294"/>
        </w:trPr>
        <w:tc>
          <w:tcPr>
            <w:tcW w:w="9180" w:type="dxa"/>
            <w:gridSpan w:val="4"/>
          </w:tcPr>
          <w:p w14:paraId="6F5E1F29" w14:textId="77777777" w:rsidR="00ED7673" w:rsidRPr="009872F3" w:rsidRDefault="00ED7673" w:rsidP="00A828FA">
            <w:pPr>
              <w:jc w:val="both"/>
              <w:rPr>
                <w:rFonts w:ascii="Arial" w:hAnsi="Arial" w:cs="Arial"/>
                <w:sz w:val="18"/>
                <w:szCs w:val="18"/>
              </w:rPr>
            </w:pPr>
          </w:p>
        </w:tc>
      </w:tr>
      <w:tr w:rsidR="00ED7673" w:rsidRPr="009872F3" w14:paraId="5B92B11D" w14:textId="77777777" w:rsidTr="00A828FA">
        <w:tc>
          <w:tcPr>
            <w:tcW w:w="5798" w:type="dxa"/>
            <w:gridSpan w:val="3"/>
          </w:tcPr>
          <w:p w14:paraId="57075BEE" w14:textId="77777777" w:rsidR="00ED7673" w:rsidRPr="00C1307E" w:rsidRDefault="00ED7673"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Marktrisiken – Handel von Finanzinstrumenten auf eigene Rechnung</w:t>
            </w:r>
            <w:r w:rsidR="000F657D">
              <w:rPr>
                <w:rFonts w:ascii="Arial" w:hAnsi="Arial" w:cs="Arial"/>
                <w:sz w:val="18"/>
                <w:szCs w:val="18"/>
              </w:rPr>
              <w:t xml:space="preserve"> –</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5EAFFF" w14:textId="77777777" w:rsidR="00ED7673" w:rsidRPr="00E109DF" w:rsidRDefault="00ED7673"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7D90C1E2" w14:textId="77777777" w:rsidTr="00A828FA">
        <w:tc>
          <w:tcPr>
            <w:tcW w:w="5798" w:type="dxa"/>
            <w:gridSpan w:val="3"/>
          </w:tcPr>
          <w:p w14:paraId="25A17975"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0F657D">
              <w:rPr>
                <w:rFonts w:ascii="Arial" w:hAnsi="Arial" w:cs="Arial"/>
                <w:sz w:val="18"/>
                <w:szCs w:val="18"/>
              </w:rPr>
              <w:t xml:space="preserve">Marktrisiken – Handel von Finanzinstrumenten auf eigene Rechnung –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EBD41C4"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D7673" w:rsidRPr="009872F3" w14:paraId="691D9B24" w14:textId="77777777" w:rsidTr="00A828FA">
        <w:tc>
          <w:tcPr>
            <w:tcW w:w="5798" w:type="dxa"/>
            <w:gridSpan w:val="3"/>
          </w:tcPr>
          <w:p w14:paraId="356AF875" w14:textId="77777777" w:rsidR="00ED7673" w:rsidRPr="00C1307E" w:rsidRDefault="00ED7673" w:rsidP="00A828F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0F657D">
              <w:rPr>
                <w:rFonts w:ascii="Arial" w:hAnsi="Arial" w:cs="Arial"/>
                <w:sz w:val="18"/>
                <w:szCs w:val="18"/>
              </w:rPr>
              <w:t xml:space="preserve">Marktrisiken – Handel von Finanzinstrumenten auf eigene Rechnung – </w:t>
            </w:r>
            <w:r w:rsidRPr="00C1307E">
              <w:rPr>
                <w:rFonts w:ascii="Arial" w:hAnsi="Arial" w:cs="Arial"/>
                <w:sz w:val="18"/>
                <w:szCs w:val="18"/>
              </w:rPr>
              <w:t xml:space="preserve">angemessen </w:t>
            </w:r>
            <w:r w:rsidRPr="00C1307E">
              <w:rPr>
                <w:rFonts w:ascii="Arial" w:hAnsi="Arial" w:cs="Arial"/>
                <w:sz w:val="18"/>
                <w:szCs w:val="18"/>
              </w:rPr>
              <w:lastRenderedPageBreak/>
              <w:t>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3CA75FF" w14:textId="77777777" w:rsidR="00ED7673" w:rsidRPr="009872F3" w:rsidRDefault="00ED7673" w:rsidP="00A828FA">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FD5964F" w14:textId="77777777" w:rsidR="00ED7673" w:rsidRPr="00CE3194" w:rsidRDefault="00ED7673" w:rsidP="00ED7673">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ED7673" w:rsidRPr="00CE3194" w14:paraId="0A4CAFE7" w14:textId="77777777" w:rsidTr="00A828FA">
        <w:tc>
          <w:tcPr>
            <w:tcW w:w="2660" w:type="dxa"/>
          </w:tcPr>
          <w:p w14:paraId="2FF4338F"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66ACD24" w14:textId="77777777" w:rsidR="00ED7673" w:rsidRPr="00CE3194" w:rsidRDefault="00ED7673"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ED7673" w:rsidRPr="00CE3194" w14:paraId="7042338D" w14:textId="77777777" w:rsidTr="00A828FA">
        <w:tc>
          <w:tcPr>
            <w:tcW w:w="2660" w:type="dxa"/>
          </w:tcPr>
          <w:p w14:paraId="3B04F1E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7C03116" w14:textId="77777777" w:rsidR="0050402B" w:rsidRDefault="0050402B" w:rsidP="0050402B">
            <w:pPr>
              <w:jc w:val="both"/>
              <w:rPr>
                <w:rFonts w:ascii="Arial" w:hAnsi="Arial" w:cs="Arial"/>
                <w:i/>
                <w:sz w:val="20"/>
                <w:szCs w:val="20"/>
                <w:highlight w:val="lightGray"/>
              </w:rPr>
            </w:pPr>
          </w:p>
          <w:p w14:paraId="3327E57F" w14:textId="77777777" w:rsidR="00ED7673"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C9BFE1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76ED69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22A9DAB" w14:textId="3A74EA31"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7EF81EA"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A57AAD9"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BF317D7" w14:textId="77777777" w:rsidTr="00A828FA">
        <w:tc>
          <w:tcPr>
            <w:tcW w:w="2660" w:type="dxa"/>
          </w:tcPr>
          <w:p w14:paraId="36C09791"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5836C85" w14:textId="77777777" w:rsidR="0074539F" w:rsidRPr="00CE3194" w:rsidRDefault="0074539F" w:rsidP="00A828FA">
            <w:pPr>
              <w:jc w:val="both"/>
              <w:rPr>
                <w:rFonts w:ascii="Arial" w:hAnsi="Arial" w:cs="Arial"/>
                <w:i/>
                <w:sz w:val="20"/>
                <w:szCs w:val="20"/>
                <w:highlight w:val="lightGray"/>
              </w:rPr>
            </w:pPr>
          </w:p>
        </w:tc>
        <w:tc>
          <w:tcPr>
            <w:tcW w:w="6520" w:type="dxa"/>
          </w:tcPr>
          <w:p w14:paraId="6DE6F1CC" w14:textId="5F6D8E2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FD703E3" w14:textId="324924A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6BD0125" w14:textId="3B10061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1BE1AE94"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ED7673" w14:paraId="352E561E" w14:textId="77777777" w:rsidTr="00A828FA">
        <w:tc>
          <w:tcPr>
            <w:tcW w:w="2660" w:type="dxa"/>
          </w:tcPr>
          <w:p w14:paraId="77E67628" w14:textId="77777777" w:rsidR="00ED7673" w:rsidRDefault="00ED7673"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F4FE1AD" w14:textId="3A6320A0"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1691A18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BEDD523"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E16828C" w14:textId="77777777" w:rsidR="00ED7673" w:rsidRPr="00CE3194" w:rsidRDefault="00ED7673"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08F8FF5" w14:textId="77777777" w:rsidR="00ED7673" w:rsidRPr="005B66F8" w:rsidRDefault="00ED7673"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609AFED0" w14:textId="08F3780A"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w:t>
            </w:r>
            <w:r w:rsidRPr="00A938AE">
              <w:rPr>
                <w:rFonts w:cs="Arial"/>
                <w:i/>
                <w:szCs w:val="20"/>
                <w:highlight w:val="lightGray"/>
              </w:rPr>
              <w:t xml:space="preserve">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4DAA8D98" w14:textId="77777777" w:rsidR="00ED7673" w:rsidRDefault="00ED7673" w:rsidP="00CB3EE6">
      <w:pPr>
        <w:jc w:val="both"/>
        <w:rPr>
          <w:rFonts w:cs="Arial"/>
          <w:szCs w:val="20"/>
        </w:rPr>
      </w:pPr>
    </w:p>
    <w:p w14:paraId="2306F21D"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C82F99B" w14:textId="77777777" w:rsidR="00E70DF4" w:rsidRDefault="00E70DF4" w:rsidP="00CB3EE6">
      <w:pPr>
        <w:jc w:val="both"/>
        <w:rPr>
          <w:rFonts w:cs="Arial"/>
          <w:szCs w:val="20"/>
        </w:rPr>
      </w:pPr>
    </w:p>
    <w:p w14:paraId="27AE9C8E" w14:textId="77777777" w:rsidR="00ED7673" w:rsidRPr="006730AC" w:rsidRDefault="00ED7673" w:rsidP="00CB3EE6">
      <w:pPr>
        <w:jc w:val="both"/>
        <w:rPr>
          <w:rFonts w:cs="Arial"/>
          <w:szCs w:val="20"/>
        </w:rPr>
      </w:pPr>
    </w:p>
    <w:p w14:paraId="70B8C6FA" w14:textId="77777777" w:rsidR="006067FE" w:rsidRPr="006730AC" w:rsidRDefault="006067FE" w:rsidP="006F7AB5">
      <w:pPr>
        <w:pStyle w:val="FINMAGliederungEbene3"/>
      </w:pPr>
      <w:bookmarkStart w:id="28" w:name="_Toc216425777"/>
      <w:r>
        <w:t>Marktrisiken: Zinsänderungsrisiken (Bankenbuch)</w:t>
      </w:r>
      <w:r w:rsidR="00543DCA">
        <w:t xml:space="preserve"> (GR-10)</w:t>
      </w:r>
      <w:bookmarkEnd w:id="28"/>
    </w:p>
    <w:p w14:paraId="7BB66B63" w14:textId="77777777" w:rsidR="00FB4F0F" w:rsidRDefault="00FB4F0F"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B4F0F" w:rsidRPr="009872F3" w14:paraId="58501EDA" w14:textId="77777777" w:rsidTr="00A828FA">
        <w:trPr>
          <w:trHeight w:val="563"/>
        </w:trPr>
        <w:tc>
          <w:tcPr>
            <w:tcW w:w="1932" w:type="dxa"/>
          </w:tcPr>
          <w:p w14:paraId="2042BDDC"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3B7A755E"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565D2"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B4F0F" w:rsidRPr="009872F3" w14:paraId="1E53BF7E" w14:textId="77777777" w:rsidTr="00A828FA">
        <w:trPr>
          <w:trHeight w:val="698"/>
        </w:trPr>
        <w:tc>
          <w:tcPr>
            <w:tcW w:w="1932" w:type="dxa"/>
          </w:tcPr>
          <w:p w14:paraId="14BC6AD0" w14:textId="39E09C22" w:rsidR="00FB4F0F" w:rsidRPr="006749F0" w:rsidRDefault="00FB4F0F"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B5A6A55" w14:textId="77777777" w:rsidR="00FB4F0F" w:rsidRPr="006749F0" w:rsidRDefault="00FB4F0F"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DFE44" w14:textId="77777777" w:rsidR="00FB4F0F" w:rsidRPr="009872F3" w:rsidRDefault="00FB4F0F"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C006A2C" w14:textId="77777777" w:rsidR="00FB4F0F" w:rsidRDefault="00FB4F0F"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6F5CA04" w14:textId="77777777" w:rsidR="00FB4F0F" w:rsidRPr="006749F0" w:rsidRDefault="00FB4F0F" w:rsidP="00A828FA">
            <w:pPr>
              <w:jc w:val="both"/>
              <w:rPr>
                <w:rFonts w:ascii="Arial" w:hAnsi="Arial" w:cs="Arial"/>
                <w:i/>
                <w:sz w:val="18"/>
                <w:szCs w:val="18"/>
              </w:rPr>
            </w:pPr>
            <w:r w:rsidRPr="006749F0">
              <w:rPr>
                <w:rFonts w:ascii="Arial" w:hAnsi="Arial" w:cs="Arial"/>
                <w:i/>
                <w:sz w:val="18"/>
                <w:szCs w:val="18"/>
                <w:highlight w:val="yellow"/>
              </w:rPr>
              <w:t>Jahr</w:t>
            </w:r>
          </w:p>
        </w:tc>
      </w:tr>
      <w:tr w:rsidR="00FB4F0F" w:rsidRPr="009872F3" w14:paraId="395771AA" w14:textId="77777777" w:rsidTr="00A828FA">
        <w:trPr>
          <w:trHeight w:val="636"/>
        </w:trPr>
        <w:tc>
          <w:tcPr>
            <w:tcW w:w="9180" w:type="dxa"/>
            <w:gridSpan w:val="4"/>
          </w:tcPr>
          <w:p w14:paraId="0DE5F58E" w14:textId="77777777" w:rsidR="00FB4F0F" w:rsidRDefault="00FB4F0F" w:rsidP="00A828FA">
            <w:pPr>
              <w:jc w:val="both"/>
              <w:rPr>
                <w:rFonts w:ascii="Arial" w:hAnsi="Arial" w:cs="Arial"/>
                <w:sz w:val="18"/>
                <w:szCs w:val="18"/>
              </w:rPr>
            </w:pPr>
          </w:p>
          <w:p w14:paraId="4A0A0594" w14:textId="77777777" w:rsidR="00FB4F0F" w:rsidRDefault="00FB4F0F"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BA1CD8C" w14:textId="292A9E1D" w:rsidR="00FB4F0F" w:rsidRPr="009872F3" w:rsidRDefault="00FB4F0F" w:rsidP="003D18A4">
            <w:pPr>
              <w:jc w:val="both"/>
              <w:rPr>
                <w:rFonts w:ascii="Arial" w:hAnsi="Arial" w:cs="Arial"/>
                <w:sz w:val="18"/>
                <w:szCs w:val="18"/>
              </w:rPr>
            </w:pPr>
            <w:r w:rsidRPr="00A72EFF">
              <w:rPr>
                <w:rFonts w:ascii="Arial" w:hAnsi="Arial" w:cs="Arial"/>
                <w:sz w:val="18"/>
                <w:szCs w:val="18"/>
                <w:highlight w:val="yellow"/>
              </w:rPr>
              <w:t>Art. 7</w:t>
            </w:r>
            <w:r w:rsidR="00E47486">
              <w:rPr>
                <w:rFonts w:ascii="Arial" w:hAnsi="Arial" w:cs="Arial"/>
                <w:sz w:val="18"/>
                <w:szCs w:val="18"/>
                <w:highlight w:val="yellow"/>
              </w:rPr>
              <w:t>9</w:t>
            </w:r>
            <w:r w:rsidRPr="00A72EFF">
              <w:rPr>
                <w:rFonts w:ascii="Arial" w:hAnsi="Arial" w:cs="Arial"/>
                <w:sz w:val="18"/>
                <w:szCs w:val="18"/>
                <w:highlight w:val="yellow"/>
              </w:rPr>
              <w:t xml:space="preserve"> BankG; Art. 21 BankV; Art. 2</w:t>
            </w:r>
            <w:r w:rsidR="00E47486">
              <w:rPr>
                <w:rFonts w:ascii="Arial" w:hAnsi="Arial" w:cs="Arial"/>
                <w:sz w:val="18"/>
                <w:szCs w:val="18"/>
                <w:highlight w:val="yellow"/>
              </w:rPr>
              <w:t>2</w:t>
            </w:r>
            <w:r w:rsidRPr="00A72EFF">
              <w:rPr>
                <w:rFonts w:ascii="Arial" w:hAnsi="Arial" w:cs="Arial"/>
                <w:sz w:val="18"/>
                <w:szCs w:val="18"/>
                <w:highlight w:val="yellow"/>
              </w:rPr>
              <w:t xml:space="preserve"> BankV</w:t>
            </w:r>
            <w:r w:rsidR="00E47486">
              <w:rPr>
                <w:rFonts w:ascii="Arial" w:hAnsi="Arial" w:cs="Arial"/>
                <w:sz w:val="18"/>
                <w:szCs w:val="18"/>
                <w:highlight w:val="yellow"/>
              </w:rPr>
              <w:t>;</w:t>
            </w:r>
            <w:r w:rsidR="00752F45">
              <w:rPr>
                <w:rFonts w:ascii="Arial" w:hAnsi="Arial" w:cs="Arial"/>
                <w:sz w:val="18"/>
                <w:szCs w:val="18"/>
                <w:highlight w:val="yellow"/>
              </w:rPr>
              <w:t xml:space="preserve"> </w:t>
            </w:r>
            <w:r w:rsidR="00752F45" w:rsidRPr="002A1419">
              <w:rPr>
                <w:rFonts w:ascii="Arial" w:hAnsi="Arial" w:cs="Arial"/>
                <w:sz w:val="18"/>
                <w:szCs w:val="18"/>
                <w:highlight w:val="yellow"/>
              </w:rPr>
              <w:t>Art. 16 BankV</w:t>
            </w:r>
            <w:r w:rsidR="00A938AE">
              <w:rPr>
                <w:rFonts w:ascii="Arial" w:hAnsi="Arial" w:cs="Arial"/>
                <w:sz w:val="18"/>
                <w:szCs w:val="18"/>
                <w:highlight w:val="yellow"/>
              </w:rPr>
              <w:t>,</w:t>
            </w:r>
            <w:r w:rsidRPr="00A72EFF">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00310057" w:rsidRPr="00A72EFF">
              <w:rPr>
                <w:rFonts w:ascii="Arial" w:hAnsi="Arial" w:cs="Arial"/>
                <w:sz w:val="18"/>
                <w:szCs w:val="18"/>
                <w:highlight w:val="yellow"/>
              </w:rPr>
              <w:t>EBA/GL/</w:t>
            </w:r>
            <w:r w:rsidR="00E47486">
              <w:rPr>
                <w:rFonts w:ascii="Arial" w:hAnsi="Arial" w:cs="Arial"/>
                <w:sz w:val="18"/>
                <w:szCs w:val="18"/>
                <w:highlight w:val="yellow"/>
              </w:rPr>
              <w:t>2022/14</w:t>
            </w:r>
            <w:r w:rsidR="003E60B1" w:rsidRPr="00A72EFF">
              <w:rPr>
                <w:rFonts w:ascii="Arial" w:hAnsi="Arial" w:cs="Arial"/>
                <w:sz w:val="18"/>
                <w:szCs w:val="18"/>
                <w:highlight w:val="yellow"/>
              </w:rPr>
              <w:t xml:space="preserve">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FB4F0F" w:rsidRPr="009872F3" w14:paraId="0B5420CF" w14:textId="77777777" w:rsidTr="00A828FA">
        <w:trPr>
          <w:trHeight w:val="294"/>
        </w:trPr>
        <w:tc>
          <w:tcPr>
            <w:tcW w:w="9180" w:type="dxa"/>
            <w:gridSpan w:val="4"/>
          </w:tcPr>
          <w:p w14:paraId="6AB05FB2" w14:textId="77777777" w:rsidR="00FB4F0F" w:rsidRPr="009872F3" w:rsidRDefault="00FB4F0F" w:rsidP="00A828FA">
            <w:pPr>
              <w:jc w:val="both"/>
              <w:rPr>
                <w:rFonts w:ascii="Arial" w:hAnsi="Arial" w:cs="Arial"/>
                <w:sz w:val="18"/>
                <w:szCs w:val="18"/>
              </w:rPr>
            </w:pPr>
          </w:p>
        </w:tc>
      </w:tr>
      <w:tr w:rsidR="00FB4F0F" w:rsidRPr="009872F3" w14:paraId="1946A22F" w14:textId="77777777" w:rsidTr="00A828FA">
        <w:tc>
          <w:tcPr>
            <w:tcW w:w="5798" w:type="dxa"/>
            <w:gridSpan w:val="3"/>
          </w:tcPr>
          <w:p w14:paraId="357B6351" w14:textId="30EC764E" w:rsidR="00FB4F0F" w:rsidRPr="00C1307E" w:rsidRDefault="00FB4F0F" w:rsidP="009E4C10">
            <w:pPr>
              <w:jc w:val="both"/>
              <w:rPr>
                <w:rFonts w:ascii="Arial" w:hAnsi="Arial" w:cs="Arial"/>
                <w:sz w:val="18"/>
                <w:szCs w:val="18"/>
              </w:rPr>
            </w:pPr>
            <w:r w:rsidRPr="00C1307E">
              <w:rPr>
                <w:rFonts w:ascii="Arial" w:hAnsi="Arial" w:cs="Arial"/>
                <w:sz w:val="18"/>
                <w:szCs w:val="18"/>
              </w:rPr>
              <w:lastRenderedPageBreak/>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Zinsänderungsrisiken (Bankenbuch) </w:t>
            </w:r>
            <w:r w:rsidRPr="00C1307E">
              <w:rPr>
                <w:rFonts w:ascii="Arial" w:hAnsi="Arial" w:cs="Arial"/>
                <w:sz w:val="18"/>
                <w:szCs w:val="18"/>
              </w:rPr>
              <w:t>angemessen ausgestaltet ist.</w:t>
            </w:r>
          </w:p>
        </w:tc>
        <w:tc>
          <w:tcPr>
            <w:tcW w:w="3382" w:type="dxa"/>
          </w:tcPr>
          <w:p w14:paraId="599DE427" w14:textId="77777777" w:rsidR="00FB4F0F" w:rsidRPr="00E109DF" w:rsidRDefault="00FB4F0F"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B4F0F" w:rsidRPr="009872F3" w14:paraId="50FB35E1" w14:textId="77777777" w:rsidTr="00A828FA">
        <w:tc>
          <w:tcPr>
            <w:tcW w:w="5798" w:type="dxa"/>
            <w:gridSpan w:val="3"/>
          </w:tcPr>
          <w:p w14:paraId="45C89BC6" w14:textId="1D12859A" w:rsidR="00FB4F0F" w:rsidRPr="00C1307E" w:rsidRDefault="00FB4F0F" w:rsidP="009E4C10">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Zinsänderungsrisiken (Bankenbuch)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C0CC556" w14:textId="77777777" w:rsidR="00FB4F0F" w:rsidRPr="009872F3" w:rsidRDefault="00FB4F0F"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B4F0F" w:rsidRPr="009872F3" w14:paraId="6E1BF884" w14:textId="77777777" w:rsidTr="00A828FA">
        <w:tc>
          <w:tcPr>
            <w:tcW w:w="5798" w:type="dxa"/>
            <w:gridSpan w:val="3"/>
          </w:tcPr>
          <w:p w14:paraId="504ED713" w14:textId="0EF48A96" w:rsidR="00FB4F0F" w:rsidRPr="00C1307E" w:rsidRDefault="00FB4F0F" w:rsidP="009E4C10">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Zinsänderungsrisiken (Bankenbuch)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B9DC1AD" w14:textId="77777777" w:rsidR="00FB4F0F" w:rsidRPr="009872F3" w:rsidRDefault="00FB4F0F"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219C4BB" w14:textId="77777777" w:rsidR="00FB4F0F" w:rsidRPr="00CE3194" w:rsidRDefault="00FB4F0F" w:rsidP="00FB4F0F">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B4F0F" w:rsidRPr="00CE3194" w14:paraId="2FF19C10" w14:textId="77777777" w:rsidTr="00A828FA">
        <w:tc>
          <w:tcPr>
            <w:tcW w:w="2660" w:type="dxa"/>
          </w:tcPr>
          <w:p w14:paraId="719D1F9C" w14:textId="77777777" w:rsidR="00FB4F0F" w:rsidRPr="00CE3194" w:rsidRDefault="00FB4F0F"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D2902B" w14:textId="77777777" w:rsidR="00FB4F0F" w:rsidRPr="00CE3194" w:rsidRDefault="00FB4F0F"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B4F0F" w:rsidRPr="00CE3194" w14:paraId="36D5B119" w14:textId="77777777" w:rsidTr="00A828FA">
        <w:tc>
          <w:tcPr>
            <w:tcW w:w="2660" w:type="dxa"/>
          </w:tcPr>
          <w:p w14:paraId="62FCCE81"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78B09A6" w14:textId="77777777" w:rsidR="0050402B" w:rsidRDefault="0050402B" w:rsidP="0050402B">
            <w:pPr>
              <w:jc w:val="both"/>
              <w:rPr>
                <w:rFonts w:ascii="Arial" w:hAnsi="Arial" w:cs="Arial"/>
                <w:i/>
                <w:sz w:val="20"/>
                <w:szCs w:val="20"/>
                <w:highlight w:val="lightGray"/>
              </w:rPr>
            </w:pPr>
          </w:p>
          <w:p w14:paraId="4BFDF687" w14:textId="77777777" w:rsidR="00FB4F0F"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8E76EFC"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199A080"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DAF1801" w14:textId="2E80B540"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138BF78"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9164806"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FB6800D" w14:textId="77777777" w:rsidTr="00A828FA">
        <w:tc>
          <w:tcPr>
            <w:tcW w:w="2660" w:type="dxa"/>
          </w:tcPr>
          <w:p w14:paraId="3EF7D849"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53137F2" w14:textId="77777777" w:rsidR="0074539F" w:rsidRPr="00CE3194" w:rsidRDefault="0074539F" w:rsidP="00A828FA">
            <w:pPr>
              <w:jc w:val="both"/>
              <w:rPr>
                <w:rFonts w:ascii="Arial" w:hAnsi="Arial" w:cs="Arial"/>
                <w:i/>
                <w:sz w:val="20"/>
                <w:szCs w:val="20"/>
                <w:highlight w:val="lightGray"/>
              </w:rPr>
            </w:pPr>
          </w:p>
        </w:tc>
        <w:tc>
          <w:tcPr>
            <w:tcW w:w="6520" w:type="dxa"/>
          </w:tcPr>
          <w:p w14:paraId="0C3C0713" w14:textId="50F03A3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75E8144E" w14:textId="1AB631C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35FDB36" w14:textId="6AEC345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6F698F97"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B4F0F" w14:paraId="10C1992C" w14:textId="77777777" w:rsidTr="00A828FA">
        <w:tc>
          <w:tcPr>
            <w:tcW w:w="2660" w:type="dxa"/>
          </w:tcPr>
          <w:p w14:paraId="575B57A6" w14:textId="77777777" w:rsidR="00FB4F0F" w:rsidRDefault="00FB4F0F"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63E6ED8" w14:textId="3B595728"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42F31C2"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194986D"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CA842DF" w14:textId="77777777" w:rsidR="00FB4F0F" w:rsidRPr="00CE3194" w:rsidRDefault="00FB4F0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C3E04C4" w14:textId="77777777" w:rsidR="00FB4F0F" w:rsidRPr="005B66F8" w:rsidRDefault="00FB4F0F"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1A4479" w14:textId="2AF5A3B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6E1DDDD6" w14:textId="77777777" w:rsidR="00FB4F0F" w:rsidRDefault="00FB4F0F" w:rsidP="00CB3EE6">
      <w:pPr>
        <w:jc w:val="both"/>
        <w:rPr>
          <w:rFonts w:cs="Arial"/>
          <w:szCs w:val="20"/>
        </w:rPr>
      </w:pPr>
    </w:p>
    <w:p w14:paraId="0AD44512"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C6A6D6D" w14:textId="77777777" w:rsidR="00E70DF4" w:rsidRDefault="00E70DF4" w:rsidP="00CB3EE6">
      <w:pPr>
        <w:jc w:val="both"/>
        <w:rPr>
          <w:rFonts w:cs="Arial"/>
          <w:szCs w:val="20"/>
        </w:rPr>
      </w:pPr>
    </w:p>
    <w:p w14:paraId="69F4B6AD" w14:textId="77777777" w:rsidR="00FB4F0F" w:rsidRPr="006730AC" w:rsidRDefault="00FB4F0F" w:rsidP="00CB3EE6">
      <w:pPr>
        <w:jc w:val="both"/>
        <w:rPr>
          <w:rFonts w:cs="Arial"/>
          <w:szCs w:val="20"/>
        </w:rPr>
      </w:pPr>
    </w:p>
    <w:p w14:paraId="6C110102" w14:textId="77777777" w:rsidR="006067FE" w:rsidRPr="006730AC" w:rsidRDefault="006067FE" w:rsidP="006F7AB5">
      <w:pPr>
        <w:pStyle w:val="FINMAGliederungEbene3"/>
      </w:pPr>
      <w:bookmarkStart w:id="29" w:name="_Toc216425778"/>
      <w:r>
        <w:t>Marktrisiken Zinsänderungsrisiken (Handelsbuch)</w:t>
      </w:r>
      <w:r w:rsidR="00543DCA">
        <w:t xml:space="preserve"> (GR-11)</w:t>
      </w:r>
      <w:bookmarkEnd w:id="29"/>
    </w:p>
    <w:p w14:paraId="636094B9" w14:textId="77777777" w:rsidR="00FB4F0F" w:rsidRDefault="00FB4F0F"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578FB693" w14:textId="77777777" w:rsidTr="00A828FA">
        <w:trPr>
          <w:trHeight w:val="563"/>
        </w:trPr>
        <w:tc>
          <w:tcPr>
            <w:tcW w:w="1932" w:type="dxa"/>
          </w:tcPr>
          <w:p w14:paraId="0B3665B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40E99FAF"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D9FD3DD"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122282CB" w14:textId="77777777" w:rsidTr="00A828FA">
        <w:trPr>
          <w:trHeight w:val="698"/>
        </w:trPr>
        <w:tc>
          <w:tcPr>
            <w:tcW w:w="1932" w:type="dxa"/>
          </w:tcPr>
          <w:p w14:paraId="3F5C17D1" w14:textId="78D28E4D"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B0A94C7"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FFA66B0"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4426A51"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2F59359"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0DA72231" w14:textId="77777777" w:rsidTr="00A828FA">
        <w:trPr>
          <w:trHeight w:val="636"/>
        </w:trPr>
        <w:tc>
          <w:tcPr>
            <w:tcW w:w="9180" w:type="dxa"/>
            <w:gridSpan w:val="4"/>
          </w:tcPr>
          <w:p w14:paraId="510067D5" w14:textId="77777777" w:rsidR="00A828FA" w:rsidRDefault="00A828FA" w:rsidP="00A828FA">
            <w:pPr>
              <w:jc w:val="both"/>
              <w:rPr>
                <w:rFonts w:ascii="Arial" w:hAnsi="Arial" w:cs="Arial"/>
                <w:sz w:val="18"/>
                <w:szCs w:val="18"/>
              </w:rPr>
            </w:pPr>
          </w:p>
          <w:p w14:paraId="179C382A"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9FF9940" w14:textId="3E2551C0" w:rsidR="00A828FA" w:rsidRPr="009872F3" w:rsidRDefault="00A828FA" w:rsidP="00A828FA">
            <w:pPr>
              <w:jc w:val="both"/>
              <w:rPr>
                <w:rFonts w:ascii="Arial" w:hAnsi="Arial" w:cs="Arial"/>
                <w:sz w:val="18"/>
                <w:szCs w:val="18"/>
              </w:rPr>
            </w:pPr>
            <w:r w:rsidRPr="00CB3EE6">
              <w:rPr>
                <w:rFonts w:ascii="Arial" w:hAnsi="Arial" w:cs="Arial"/>
                <w:sz w:val="18"/>
                <w:szCs w:val="18"/>
                <w:highlight w:val="yellow"/>
              </w:rPr>
              <w:t>Art. 7</w:t>
            </w:r>
            <w:r w:rsidR="008924FC">
              <w:rPr>
                <w:rFonts w:ascii="Arial" w:hAnsi="Arial" w:cs="Arial"/>
                <w:sz w:val="18"/>
                <w:szCs w:val="18"/>
                <w:highlight w:val="yellow"/>
              </w:rPr>
              <w:t>9</w:t>
            </w:r>
            <w:r w:rsidRPr="00CB3EE6">
              <w:rPr>
                <w:rFonts w:ascii="Arial" w:hAnsi="Arial" w:cs="Arial"/>
                <w:sz w:val="18"/>
                <w:szCs w:val="18"/>
                <w:highlight w:val="yellow"/>
              </w:rPr>
              <w:t xml:space="preserve"> BankG; Art. 21 BankV</w:t>
            </w:r>
            <w:r w:rsidR="00752F45">
              <w:rPr>
                <w:rFonts w:ascii="Arial" w:hAnsi="Arial" w:cs="Arial"/>
                <w:sz w:val="18"/>
                <w:szCs w:val="18"/>
                <w:highlight w:val="yellow"/>
              </w:rPr>
              <w:t xml:space="preserve">, </w:t>
            </w:r>
            <w:r w:rsidR="00752F45" w:rsidRPr="002A1419">
              <w:rPr>
                <w:rFonts w:ascii="Arial" w:hAnsi="Arial" w:cs="Arial"/>
                <w:sz w:val="18"/>
                <w:szCs w:val="18"/>
                <w:highlight w:val="yellow"/>
              </w:rPr>
              <w:t>Art. 16 BankV</w:t>
            </w:r>
            <w:r w:rsidRPr="00CB3EE6">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003E60B1">
              <w:rPr>
                <w:rFonts w:ascii="Arial" w:hAnsi="Arial" w:cs="Arial"/>
                <w:sz w:val="18"/>
                <w:szCs w:val="18"/>
                <w:highlight w:val="yellow"/>
              </w:rPr>
              <w:t xml:space="preserve">VO (EU) Nr. 575/2013 Art. 94, Art. 102 ff;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A828FA" w:rsidRPr="009872F3" w14:paraId="64C56CEE" w14:textId="77777777" w:rsidTr="00A828FA">
        <w:trPr>
          <w:trHeight w:val="294"/>
        </w:trPr>
        <w:tc>
          <w:tcPr>
            <w:tcW w:w="9180" w:type="dxa"/>
            <w:gridSpan w:val="4"/>
          </w:tcPr>
          <w:p w14:paraId="5FD76187" w14:textId="77777777" w:rsidR="00A828FA" w:rsidRPr="009872F3" w:rsidRDefault="00A828FA" w:rsidP="00A828FA">
            <w:pPr>
              <w:jc w:val="both"/>
              <w:rPr>
                <w:rFonts w:ascii="Arial" w:hAnsi="Arial" w:cs="Arial"/>
                <w:sz w:val="18"/>
                <w:szCs w:val="18"/>
              </w:rPr>
            </w:pPr>
          </w:p>
        </w:tc>
      </w:tr>
      <w:tr w:rsidR="00A828FA" w:rsidRPr="009872F3" w14:paraId="31E37E37" w14:textId="77777777" w:rsidTr="00A828FA">
        <w:tc>
          <w:tcPr>
            <w:tcW w:w="5798" w:type="dxa"/>
            <w:gridSpan w:val="3"/>
          </w:tcPr>
          <w:p w14:paraId="04F0CE17" w14:textId="41C86A60" w:rsidR="00A828FA" w:rsidRPr="00C1307E" w:rsidRDefault="00A828FA" w:rsidP="009E4C10">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Zinsänderungsrisiken (Handelsbuch) </w:t>
            </w:r>
            <w:r w:rsidRPr="00C1307E">
              <w:rPr>
                <w:rFonts w:ascii="Arial" w:hAnsi="Arial" w:cs="Arial"/>
                <w:sz w:val="18"/>
                <w:szCs w:val="18"/>
              </w:rPr>
              <w:t>angemessen ausgestaltet ist.</w:t>
            </w:r>
          </w:p>
        </w:tc>
        <w:tc>
          <w:tcPr>
            <w:tcW w:w="3382" w:type="dxa"/>
          </w:tcPr>
          <w:p w14:paraId="251F03DA"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084C9F27" w14:textId="77777777" w:rsidTr="00A828FA">
        <w:tc>
          <w:tcPr>
            <w:tcW w:w="5798" w:type="dxa"/>
            <w:gridSpan w:val="3"/>
          </w:tcPr>
          <w:p w14:paraId="7F6DCA69" w14:textId="3141C7C6"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Zinsänderungsrisiken (Handelsbuch)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1FB1475"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5F8B27ED" w14:textId="77777777" w:rsidTr="00A828FA">
        <w:tc>
          <w:tcPr>
            <w:tcW w:w="5798" w:type="dxa"/>
            <w:gridSpan w:val="3"/>
          </w:tcPr>
          <w:p w14:paraId="7E825C0D" w14:textId="4399D09E" w:rsidR="00A828FA" w:rsidRPr="00C1307E" w:rsidRDefault="00A828FA" w:rsidP="009E4C10">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Zinsänderungsrisiken (Handelsbuch)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126A76"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87A0FC"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5451D93F" w14:textId="77777777" w:rsidTr="00A828FA">
        <w:tc>
          <w:tcPr>
            <w:tcW w:w="2660" w:type="dxa"/>
          </w:tcPr>
          <w:p w14:paraId="0637E759"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B3084A"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79789655" w14:textId="77777777" w:rsidTr="00A828FA">
        <w:tc>
          <w:tcPr>
            <w:tcW w:w="2660" w:type="dxa"/>
          </w:tcPr>
          <w:p w14:paraId="630821F9"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A0C305D" w14:textId="77777777" w:rsidR="0050402B" w:rsidRDefault="0050402B" w:rsidP="0050402B">
            <w:pPr>
              <w:jc w:val="both"/>
              <w:rPr>
                <w:rFonts w:ascii="Arial" w:hAnsi="Arial" w:cs="Arial"/>
                <w:i/>
                <w:sz w:val="20"/>
                <w:szCs w:val="20"/>
                <w:highlight w:val="lightGray"/>
              </w:rPr>
            </w:pPr>
          </w:p>
          <w:p w14:paraId="50A830A2"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F5E9050"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9D3489E"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995C365" w14:textId="02A1ED3E"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175C60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E3B715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C069BA5" w14:textId="77777777" w:rsidTr="00A828FA">
        <w:tc>
          <w:tcPr>
            <w:tcW w:w="2660" w:type="dxa"/>
          </w:tcPr>
          <w:p w14:paraId="222C38D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58D2A42" w14:textId="77777777" w:rsidR="0074539F" w:rsidRPr="00CE3194" w:rsidRDefault="0074539F" w:rsidP="00A828FA">
            <w:pPr>
              <w:jc w:val="both"/>
              <w:rPr>
                <w:rFonts w:ascii="Arial" w:hAnsi="Arial" w:cs="Arial"/>
                <w:i/>
                <w:sz w:val="20"/>
                <w:szCs w:val="20"/>
                <w:highlight w:val="lightGray"/>
              </w:rPr>
            </w:pPr>
          </w:p>
        </w:tc>
        <w:tc>
          <w:tcPr>
            <w:tcW w:w="6520" w:type="dxa"/>
          </w:tcPr>
          <w:p w14:paraId="639AE883" w14:textId="38BE0AA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8D6CED1" w14:textId="19171700"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3C910F9" w14:textId="25DA2CA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39D13A0"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551762E2" w14:textId="77777777" w:rsidTr="00A828FA">
        <w:tc>
          <w:tcPr>
            <w:tcW w:w="2660" w:type="dxa"/>
          </w:tcPr>
          <w:p w14:paraId="648DDD75"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175CD83" w14:textId="6DAB11E3"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p>
          <w:p w14:paraId="0F59E5A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6CCAB1D"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4CD30C7"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6E737FE"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ED539CD" w14:textId="56DA2946"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w:t>
            </w:r>
            <w:r w:rsidR="003D4AD9">
              <w:rPr>
                <w:rFonts w:cs="Arial"/>
                <w:i/>
                <w:szCs w:val="20"/>
              </w:rPr>
              <w:t xml:space="preserve"> </w:t>
            </w:r>
          </w:p>
        </w:tc>
      </w:tr>
    </w:tbl>
    <w:p w14:paraId="7D396A37" w14:textId="77777777" w:rsidR="00FB4F0F" w:rsidRDefault="00FB4F0F" w:rsidP="00CB3EE6">
      <w:pPr>
        <w:jc w:val="both"/>
        <w:rPr>
          <w:rFonts w:cs="Arial"/>
          <w:szCs w:val="20"/>
        </w:rPr>
      </w:pPr>
    </w:p>
    <w:p w14:paraId="1EACB25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6241D4D2" w14:textId="77777777" w:rsidR="00E70DF4" w:rsidRDefault="00E70DF4" w:rsidP="00CB3EE6">
      <w:pPr>
        <w:jc w:val="both"/>
        <w:rPr>
          <w:rFonts w:cs="Arial"/>
          <w:szCs w:val="20"/>
        </w:rPr>
      </w:pPr>
    </w:p>
    <w:p w14:paraId="128E5EBF" w14:textId="77777777" w:rsidR="00FB4F0F" w:rsidRPr="006730AC" w:rsidRDefault="00FB4F0F" w:rsidP="00CB3EE6">
      <w:pPr>
        <w:jc w:val="both"/>
        <w:rPr>
          <w:rFonts w:cs="Arial"/>
          <w:szCs w:val="20"/>
        </w:rPr>
      </w:pPr>
    </w:p>
    <w:p w14:paraId="7AD592C9" w14:textId="77777777" w:rsidR="006067FE" w:rsidRPr="006730AC" w:rsidRDefault="006067FE" w:rsidP="006F7AB5">
      <w:pPr>
        <w:pStyle w:val="FINMAGliederungEbene3"/>
      </w:pPr>
      <w:bookmarkStart w:id="30" w:name="_Toc216425779"/>
      <w:r>
        <w:t>Marktrisiken: Preisänderungsrisiken (insb. Wertpapiere und Beteiligungen, Rohstoffe, Edelmetalle, virtuelle Währungen)</w:t>
      </w:r>
      <w:r w:rsidR="00543DCA">
        <w:t xml:space="preserve"> (GR-12)</w:t>
      </w:r>
      <w:bookmarkEnd w:id="30"/>
    </w:p>
    <w:p w14:paraId="6E6D1B35" w14:textId="77777777" w:rsidR="00A828FA" w:rsidRDefault="00A828F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6571FD45" w14:textId="77777777" w:rsidTr="00A828FA">
        <w:trPr>
          <w:trHeight w:val="563"/>
        </w:trPr>
        <w:tc>
          <w:tcPr>
            <w:tcW w:w="1932" w:type="dxa"/>
          </w:tcPr>
          <w:p w14:paraId="6AB9B98F"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210A625"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3C2DBA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6A66B052" w14:textId="77777777" w:rsidTr="00A828FA">
        <w:trPr>
          <w:trHeight w:val="698"/>
        </w:trPr>
        <w:tc>
          <w:tcPr>
            <w:tcW w:w="1932" w:type="dxa"/>
          </w:tcPr>
          <w:p w14:paraId="610E2B36" w14:textId="40AA2AE4"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79CAD13"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0A8B8C6"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3C55BF8"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5662357"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403D9CCF" w14:textId="77777777" w:rsidTr="00A828FA">
        <w:trPr>
          <w:trHeight w:val="636"/>
        </w:trPr>
        <w:tc>
          <w:tcPr>
            <w:tcW w:w="9180" w:type="dxa"/>
            <w:gridSpan w:val="4"/>
          </w:tcPr>
          <w:p w14:paraId="00873367" w14:textId="77777777" w:rsidR="00A828FA" w:rsidRDefault="00A828FA" w:rsidP="00A828FA">
            <w:pPr>
              <w:jc w:val="both"/>
              <w:rPr>
                <w:rFonts w:ascii="Arial" w:hAnsi="Arial" w:cs="Arial"/>
                <w:sz w:val="18"/>
                <w:szCs w:val="18"/>
              </w:rPr>
            </w:pPr>
          </w:p>
          <w:p w14:paraId="5DCBA253"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81F34ED" w14:textId="0240BF2F" w:rsidR="00A828FA" w:rsidRPr="00A32220" w:rsidRDefault="00A828FA" w:rsidP="00A828FA">
            <w:pPr>
              <w:jc w:val="both"/>
              <w:rPr>
                <w:rFonts w:ascii="Arial" w:hAnsi="Arial" w:cs="Arial"/>
                <w:sz w:val="18"/>
                <w:szCs w:val="18"/>
                <w:highlight w:val="yellow"/>
              </w:rPr>
            </w:pPr>
            <w:r w:rsidRPr="00847614">
              <w:rPr>
                <w:rFonts w:ascii="Arial" w:hAnsi="Arial" w:cs="Arial"/>
                <w:sz w:val="18"/>
                <w:szCs w:val="18"/>
                <w:highlight w:val="yellow"/>
              </w:rPr>
              <w:t>Art. 7</w:t>
            </w:r>
            <w:r w:rsidR="00F84239" w:rsidRPr="0067573A">
              <w:rPr>
                <w:rFonts w:ascii="Arial" w:hAnsi="Arial" w:cs="Arial"/>
                <w:sz w:val="18"/>
                <w:szCs w:val="18"/>
                <w:highlight w:val="yellow"/>
              </w:rPr>
              <w:t>9</w:t>
            </w:r>
            <w:r w:rsidRPr="00B13D1E">
              <w:rPr>
                <w:rFonts w:ascii="Arial" w:hAnsi="Arial" w:cs="Arial"/>
                <w:sz w:val="18"/>
                <w:szCs w:val="18"/>
                <w:highlight w:val="yellow"/>
              </w:rPr>
              <w:t xml:space="preserve"> BankG; Art. 21</w:t>
            </w:r>
            <w:r w:rsidRPr="002F5A80">
              <w:rPr>
                <w:rFonts w:ascii="Arial" w:hAnsi="Arial" w:cs="Arial"/>
                <w:sz w:val="18"/>
                <w:szCs w:val="18"/>
                <w:highlight w:val="yellow"/>
              </w:rPr>
              <w:t xml:space="preserve"> BankV</w:t>
            </w:r>
            <w:r w:rsidR="00752F45" w:rsidRPr="002F5A80">
              <w:rPr>
                <w:rFonts w:ascii="Arial" w:hAnsi="Arial" w:cs="Arial"/>
                <w:sz w:val="18"/>
                <w:szCs w:val="18"/>
                <w:highlight w:val="yellow"/>
              </w:rPr>
              <w:t>, Art. 16 BankV</w:t>
            </w:r>
            <w:r w:rsidRPr="002F5A80">
              <w:rPr>
                <w:rFonts w:ascii="Arial" w:hAnsi="Arial" w:cs="Arial"/>
                <w:sz w:val="18"/>
                <w:szCs w:val="18"/>
                <w:highlight w:val="yellow"/>
              </w:rPr>
              <w:t xml:space="preserve"> </w:t>
            </w:r>
            <w:r w:rsidR="0021306E" w:rsidRPr="00FD0C9A">
              <w:rPr>
                <w:rFonts w:ascii="Arial" w:hAnsi="Arial" w:cs="Arial"/>
                <w:sz w:val="18"/>
                <w:szCs w:val="18"/>
                <w:highlight w:val="yellow"/>
              </w:rPr>
              <w:t>Art. 10-11 BankV,</w:t>
            </w:r>
          </w:p>
          <w:p w14:paraId="103E472F" w14:textId="5BC51CD7" w:rsidR="00A828FA" w:rsidRPr="009872F3" w:rsidRDefault="00A828FA" w:rsidP="00A828FA">
            <w:pPr>
              <w:jc w:val="both"/>
              <w:rPr>
                <w:rFonts w:ascii="Arial" w:hAnsi="Arial" w:cs="Arial"/>
                <w:sz w:val="18"/>
                <w:szCs w:val="18"/>
              </w:rPr>
            </w:pPr>
            <w:r w:rsidRPr="00276C60">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A828FA" w:rsidRPr="009872F3" w14:paraId="4A95F37B" w14:textId="77777777" w:rsidTr="00A828FA">
        <w:trPr>
          <w:trHeight w:val="294"/>
        </w:trPr>
        <w:tc>
          <w:tcPr>
            <w:tcW w:w="9180" w:type="dxa"/>
            <w:gridSpan w:val="4"/>
          </w:tcPr>
          <w:p w14:paraId="16B576A9" w14:textId="77777777" w:rsidR="00A828FA" w:rsidRPr="009872F3" w:rsidRDefault="00A828FA" w:rsidP="00A828FA">
            <w:pPr>
              <w:jc w:val="both"/>
              <w:rPr>
                <w:rFonts w:ascii="Arial" w:hAnsi="Arial" w:cs="Arial"/>
                <w:sz w:val="18"/>
                <w:szCs w:val="18"/>
              </w:rPr>
            </w:pPr>
          </w:p>
        </w:tc>
      </w:tr>
      <w:tr w:rsidR="00A828FA" w:rsidRPr="009872F3" w14:paraId="00D70380" w14:textId="77777777" w:rsidTr="00A828FA">
        <w:tc>
          <w:tcPr>
            <w:tcW w:w="5798" w:type="dxa"/>
            <w:gridSpan w:val="3"/>
          </w:tcPr>
          <w:p w14:paraId="75AA9776" w14:textId="1B0E971F"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angemessen ausgestaltet ist.</w:t>
            </w:r>
          </w:p>
        </w:tc>
        <w:tc>
          <w:tcPr>
            <w:tcW w:w="3382" w:type="dxa"/>
          </w:tcPr>
          <w:p w14:paraId="2C818BA5"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1B14FB9C" w14:textId="77777777" w:rsidTr="00A828FA">
        <w:tc>
          <w:tcPr>
            <w:tcW w:w="5798" w:type="dxa"/>
            <w:gridSpan w:val="3"/>
          </w:tcPr>
          <w:p w14:paraId="53ADEEB6" w14:textId="3CFC9617" w:rsidR="00A828FA" w:rsidRPr="00C1307E" w:rsidRDefault="00A828FA" w:rsidP="00A828F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2AB9236"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06112D4B" w14:textId="77777777" w:rsidTr="00A828FA">
        <w:tc>
          <w:tcPr>
            <w:tcW w:w="5798" w:type="dxa"/>
            <w:gridSpan w:val="3"/>
          </w:tcPr>
          <w:p w14:paraId="0F0548EC" w14:textId="4116BFA1" w:rsidR="00A828FA" w:rsidRPr="00C1307E" w:rsidRDefault="00A828FA" w:rsidP="00A828F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9E4C10" w:rsidRPr="009E4C10">
              <w:rPr>
                <w:rFonts w:ascii="Arial" w:hAnsi="Arial" w:cs="Arial"/>
                <w:sz w:val="18"/>
                <w:szCs w:val="18"/>
              </w:rPr>
              <w:t>Preisänderungsrisiken (insb. Wertpapiere und Beteiligungen, Rohstoffe, Edelmetalle, virtuelle Währungen)</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8CB3084"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C035AF4"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19E142DA" w14:textId="77777777" w:rsidTr="00A828FA">
        <w:tc>
          <w:tcPr>
            <w:tcW w:w="2660" w:type="dxa"/>
          </w:tcPr>
          <w:p w14:paraId="07C53223"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2126FB"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13F74EC4" w14:textId="77777777" w:rsidTr="00A828FA">
        <w:tc>
          <w:tcPr>
            <w:tcW w:w="2660" w:type="dxa"/>
          </w:tcPr>
          <w:p w14:paraId="71CE6C99"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7292DC2" w14:textId="77777777" w:rsidR="0050402B" w:rsidRDefault="0050402B" w:rsidP="0050402B">
            <w:pPr>
              <w:jc w:val="both"/>
              <w:rPr>
                <w:rFonts w:ascii="Arial" w:hAnsi="Arial" w:cs="Arial"/>
                <w:i/>
                <w:sz w:val="20"/>
                <w:szCs w:val="20"/>
                <w:highlight w:val="lightGray"/>
              </w:rPr>
            </w:pPr>
          </w:p>
          <w:p w14:paraId="21CD2ED7"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78AACE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E17AF4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DABE15A" w14:textId="560B26E5"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5F11A20"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D843523"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E0C1EA2" w14:textId="77777777" w:rsidTr="00A828FA">
        <w:tc>
          <w:tcPr>
            <w:tcW w:w="2660" w:type="dxa"/>
          </w:tcPr>
          <w:p w14:paraId="119580E2"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7E231D" w14:textId="77777777" w:rsidR="0074539F" w:rsidRPr="00CE3194" w:rsidRDefault="0074539F" w:rsidP="00A828FA">
            <w:pPr>
              <w:jc w:val="both"/>
              <w:rPr>
                <w:rFonts w:ascii="Arial" w:hAnsi="Arial" w:cs="Arial"/>
                <w:i/>
                <w:sz w:val="20"/>
                <w:szCs w:val="20"/>
                <w:highlight w:val="lightGray"/>
              </w:rPr>
            </w:pPr>
          </w:p>
        </w:tc>
        <w:tc>
          <w:tcPr>
            <w:tcW w:w="6520" w:type="dxa"/>
          </w:tcPr>
          <w:p w14:paraId="1515CE2E" w14:textId="08F3162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093687F" w14:textId="23246E42"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21C82F0" w14:textId="47A68D8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0AD810E0"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628A6411" w14:textId="77777777" w:rsidTr="00A828FA">
        <w:tc>
          <w:tcPr>
            <w:tcW w:w="2660" w:type="dxa"/>
          </w:tcPr>
          <w:p w14:paraId="51FFDFFD"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040D8C5" w14:textId="50CEFB20"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32C8D648"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DD16464"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505412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6AC95D"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5A1FD96" w14:textId="70A6038D"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lastRenderedPageBreak/>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w:t>
            </w:r>
            <w:r w:rsidRPr="00A938AE">
              <w:rPr>
                <w:rFonts w:cs="Arial"/>
                <w:i/>
                <w:szCs w:val="20"/>
                <w:highlight w:val="lightGray"/>
              </w:rPr>
              <w:t xml:space="preserve">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722DD4B0" w14:textId="77777777" w:rsidR="00A828FA" w:rsidRDefault="00A828FA" w:rsidP="00CB3EE6">
      <w:pPr>
        <w:jc w:val="both"/>
        <w:rPr>
          <w:rFonts w:cs="Arial"/>
          <w:szCs w:val="20"/>
        </w:rPr>
      </w:pPr>
    </w:p>
    <w:p w14:paraId="63454F1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74F7CF3D" w14:textId="77777777" w:rsidR="00E70DF4" w:rsidRDefault="00E70DF4" w:rsidP="00CB3EE6">
      <w:pPr>
        <w:jc w:val="both"/>
        <w:rPr>
          <w:rFonts w:cs="Arial"/>
          <w:szCs w:val="20"/>
        </w:rPr>
      </w:pPr>
    </w:p>
    <w:p w14:paraId="61D6459A" w14:textId="77777777" w:rsidR="00A828FA" w:rsidRPr="006730AC" w:rsidRDefault="00A828FA" w:rsidP="00CB3EE6">
      <w:pPr>
        <w:jc w:val="both"/>
        <w:rPr>
          <w:rFonts w:cs="Arial"/>
          <w:szCs w:val="20"/>
        </w:rPr>
      </w:pPr>
    </w:p>
    <w:p w14:paraId="74391B41" w14:textId="77777777" w:rsidR="006067FE" w:rsidRPr="006730AC" w:rsidRDefault="006067FE" w:rsidP="006F7AB5">
      <w:pPr>
        <w:pStyle w:val="FINMAGliederungEbene3"/>
      </w:pPr>
      <w:bookmarkStart w:id="31" w:name="_Toc216425780"/>
      <w:r>
        <w:t>Marktrisiken: Wechselkursrisiken</w:t>
      </w:r>
      <w:r w:rsidR="00543DCA">
        <w:t xml:space="preserve"> (GR-13)</w:t>
      </w:r>
      <w:bookmarkEnd w:id="31"/>
    </w:p>
    <w:p w14:paraId="4DD7858C" w14:textId="77777777" w:rsidR="00A828FA" w:rsidRDefault="00A828F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28FA" w:rsidRPr="009872F3" w14:paraId="053D6205" w14:textId="77777777" w:rsidTr="00A828FA">
        <w:trPr>
          <w:trHeight w:val="563"/>
        </w:trPr>
        <w:tc>
          <w:tcPr>
            <w:tcW w:w="1932" w:type="dxa"/>
          </w:tcPr>
          <w:p w14:paraId="602B2C4A"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Nettorisiko</w:t>
            </w:r>
          </w:p>
        </w:tc>
        <w:tc>
          <w:tcPr>
            <w:tcW w:w="2145" w:type="dxa"/>
          </w:tcPr>
          <w:p w14:paraId="734F0A51"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A4BB3CC"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28FA" w:rsidRPr="009872F3" w14:paraId="2CB2E2DA" w14:textId="77777777" w:rsidTr="00A828FA">
        <w:trPr>
          <w:trHeight w:val="698"/>
        </w:trPr>
        <w:tc>
          <w:tcPr>
            <w:tcW w:w="1932" w:type="dxa"/>
          </w:tcPr>
          <w:p w14:paraId="1EE6032E" w14:textId="5B3C3DAD"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914B960" w14:textId="77777777" w:rsidR="00A828FA" w:rsidRPr="006749F0" w:rsidRDefault="00A828FA" w:rsidP="00A828F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188486" w14:textId="77777777" w:rsidR="00A828FA" w:rsidRPr="009872F3" w:rsidRDefault="00A828FA" w:rsidP="00A828F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6A0CAD7" w14:textId="77777777" w:rsidR="00A828FA" w:rsidRDefault="00A828FA" w:rsidP="00A828F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19282DB" w14:textId="77777777" w:rsidR="00A828FA" w:rsidRPr="006749F0" w:rsidRDefault="00A828FA" w:rsidP="00A828FA">
            <w:pPr>
              <w:jc w:val="both"/>
              <w:rPr>
                <w:rFonts w:ascii="Arial" w:hAnsi="Arial" w:cs="Arial"/>
                <w:i/>
                <w:sz w:val="18"/>
                <w:szCs w:val="18"/>
              </w:rPr>
            </w:pPr>
            <w:r w:rsidRPr="006749F0">
              <w:rPr>
                <w:rFonts w:ascii="Arial" w:hAnsi="Arial" w:cs="Arial"/>
                <w:i/>
                <w:sz w:val="18"/>
                <w:szCs w:val="18"/>
                <w:highlight w:val="yellow"/>
              </w:rPr>
              <w:t>Jahr</w:t>
            </w:r>
          </w:p>
        </w:tc>
      </w:tr>
      <w:tr w:rsidR="00A828FA" w:rsidRPr="009872F3" w14:paraId="53306514" w14:textId="77777777" w:rsidTr="00A828FA">
        <w:trPr>
          <w:trHeight w:val="636"/>
        </w:trPr>
        <w:tc>
          <w:tcPr>
            <w:tcW w:w="9180" w:type="dxa"/>
            <w:gridSpan w:val="4"/>
          </w:tcPr>
          <w:p w14:paraId="65B5901F" w14:textId="77777777" w:rsidR="00A828FA" w:rsidRDefault="00A828FA" w:rsidP="00A828FA">
            <w:pPr>
              <w:jc w:val="both"/>
              <w:rPr>
                <w:rFonts w:ascii="Arial" w:hAnsi="Arial" w:cs="Arial"/>
                <w:sz w:val="18"/>
                <w:szCs w:val="18"/>
              </w:rPr>
            </w:pPr>
          </w:p>
          <w:p w14:paraId="0166E7AE" w14:textId="77777777" w:rsidR="00A828FA" w:rsidRDefault="00A828FA" w:rsidP="00A828F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3D2BFB2" w14:textId="329F68B6" w:rsidR="00996F3A" w:rsidRPr="002F5A80" w:rsidRDefault="00996F3A" w:rsidP="00A828FA">
            <w:pPr>
              <w:jc w:val="both"/>
              <w:rPr>
                <w:rFonts w:ascii="Arial" w:hAnsi="Arial" w:cs="Arial"/>
                <w:sz w:val="18"/>
                <w:szCs w:val="18"/>
                <w:highlight w:val="yellow"/>
              </w:rPr>
            </w:pPr>
            <w:r w:rsidRPr="00847614">
              <w:rPr>
                <w:rFonts w:ascii="Arial" w:hAnsi="Arial" w:cs="Arial"/>
                <w:sz w:val="18"/>
                <w:szCs w:val="18"/>
                <w:highlight w:val="yellow"/>
              </w:rPr>
              <w:t>Art. 7</w:t>
            </w:r>
            <w:r w:rsidR="00F84239" w:rsidRPr="0067573A">
              <w:rPr>
                <w:rFonts w:ascii="Arial" w:hAnsi="Arial" w:cs="Arial"/>
                <w:sz w:val="18"/>
                <w:szCs w:val="18"/>
                <w:highlight w:val="yellow"/>
              </w:rPr>
              <w:t>9</w:t>
            </w:r>
            <w:r w:rsidRPr="00DC249D">
              <w:rPr>
                <w:rFonts w:ascii="Arial" w:hAnsi="Arial" w:cs="Arial"/>
                <w:sz w:val="18"/>
                <w:szCs w:val="18"/>
                <w:highlight w:val="yellow"/>
              </w:rPr>
              <w:t xml:space="preserve"> BankG; Art. 21</w:t>
            </w:r>
            <w:r w:rsidRPr="00B13D1E">
              <w:rPr>
                <w:rFonts w:ascii="Arial" w:hAnsi="Arial" w:cs="Arial"/>
                <w:sz w:val="18"/>
                <w:szCs w:val="18"/>
                <w:highlight w:val="yellow"/>
              </w:rPr>
              <w:t xml:space="preserve"> BankV</w:t>
            </w:r>
            <w:r w:rsidR="00752F45" w:rsidRPr="002F5A80">
              <w:rPr>
                <w:rFonts w:ascii="Arial" w:hAnsi="Arial" w:cs="Arial"/>
                <w:sz w:val="18"/>
                <w:szCs w:val="18"/>
                <w:highlight w:val="yellow"/>
              </w:rPr>
              <w:t>, Art. 16 BankV</w:t>
            </w:r>
            <w:r w:rsidRPr="002F5A80">
              <w:rPr>
                <w:rFonts w:ascii="Arial" w:hAnsi="Arial" w:cs="Arial"/>
                <w:sz w:val="18"/>
                <w:szCs w:val="18"/>
                <w:highlight w:val="yellow"/>
              </w:rPr>
              <w:t xml:space="preserve"> </w:t>
            </w:r>
            <w:r w:rsidR="0021306E" w:rsidRPr="002F5A80">
              <w:rPr>
                <w:rFonts w:ascii="Arial" w:hAnsi="Arial" w:cs="Arial"/>
                <w:sz w:val="18"/>
                <w:szCs w:val="18"/>
                <w:highlight w:val="yellow"/>
              </w:rPr>
              <w:t>Art. 10-11 BankV,</w:t>
            </w:r>
          </w:p>
          <w:p w14:paraId="2711066E" w14:textId="5E94D1AF" w:rsidR="00A828FA" w:rsidRPr="009872F3" w:rsidRDefault="00996F3A" w:rsidP="00A828FA">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A828FA" w:rsidRPr="009872F3" w14:paraId="3267CAA9" w14:textId="77777777" w:rsidTr="00A828FA">
        <w:trPr>
          <w:trHeight w:val="294"/>
        </w:trPr>
        <w:tc>
          <w:tcPr>
            <w:tcW w:w="9180" w:type="dxa"/>
            <w:gridSpan w:val="4"/>
          </w:tcPr>
          <w:p w14:paraId="02A2962C" w14:textId="77777777" w:rsidR="00A828FA" w:rsidRPr="009872F3" w:rsidRDefault="00A828FA" w:rsidP="00A828FA">
            <w:pPr>
              <w:jc w:val="both"/>
              <w:rPr>
                <w:rFonts w:ascii="Arial" w:hAnsi="Arial" w:cs="Arial"/>
                <w:sz w:val="18"/>
                <w:szCs w:val="18"/>
              </w:rPr>
            </w:pPr>
          </w:p>
        </w:tc>
      </w:tr>
      <w:tr w:rsidR="00A828FA" w:rsidRPr="009872F3" w14:paraId="3411D672" w14:textId="77777777" w:rsidTr="00A828FA">
        <w:tc>
          <w:tcPr>
            <w:tcW w:w="5798" w:type="dxa"/>
            <w:gridSpan w:val="3"/>
          </w:tcPr>
          <w:p w14:paraId="52D68379" w14:textId="0147D742"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Wechselkursrisiken </w:t>
            </w:r>
            <w:r w:rsidRPr="00C1307E">
              <w:rPr>
                <w:rFonts w:ascii="Arial" w:hAnsi="Arial" w:cs="Arial"/>
                <w:sz w:val="18"/>
                <w:szCs w:val="18"/>
              </w:rPr>
              <w:t>angemessen ausgestaltet ist.</w:t>
            </w:r>
          </w:p>
        </w:tc>
        <w:tc>
          <w:tcPr>
            <w:tcW w:w="3382" w:type="dxa"/>
          </w:tcPr>
          <w:p w14:paraId="0A7E8DC8" w14:textId="77777777" w:rsidR="00A828FA" w:rsidRPr="00E109DF" w:rsidRDefault="00A828FA" w:rsidP="00A828F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4221DD86" w14:textId="77777777" w:rsidTr="00A828FA">
        <w:tc>
          <w:tcPr>
            <w:tcW w:w="5798" w:type="dxa"/>
            <w:gridSpan w:val="3"/>
          </w:tcPr>
          <w:p w14:paraId="2B5CB45F" w14:textId="40B1DFE2"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Wechselkursrisiken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E807C00"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28FA" w:rsidRPr="009872F3" w14:paraId="3284EA4B" w14:textId="77777777" w:rsidTr="00A828FA">
        <w:tc>
          <w:tcPr>
            <w:tcW w:w="5798" w:type="dxa"/>
            <w:gridSpan w:val="3"/>
          </w:tcPr>
          <w:p w14:paraId="283C2922" w14:textId="68A720D5" w:rsidR="00A828FA" w:rsidRPr="00C1307E" w:rsidRDefault="00A828FA" w:rsidP="00DF1664">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996F3A">
              <w:rPr>
                <w:rFonts w:ascii="Arial" w:hAnsi="Arial" w:cs="Arial"/>
                <w:sz w:val="18"/>
                <w:szCs w:val="18"/>
              </w:rPr>
              <w:t>Wechselkursrisiken</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702D3D2" w14:textId="77777777" w:rsidR="00A828FA" w:rsidRPr="009872F3" w:rsidRDefault="00A828FA" w:rsidP="00A828F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01D1245" w14:textId="77777777" w:rsidR="00A828FA" w:rsidRPr="00CE3194" w:rsidRDefault="00A828FA" w:rsidP="00A828FA">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28FA" w:rsidRPr="00CE3194" w14:paraId="0B596695" w14:textId="77777777" w:rsidTr="00A828FA">
        <w:tc>
          <w:tcPr>
            <w:tcW w:w="2660" w:type="dxa"/>
          </w:tcPr>
          <w:p w14:paraId="66529E6E"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A94D91A" w14:textId="77777777" w:rsidR="00A828FA" w:rsidRPr="00CE3194" w:rsidRDefault="00A828FA" w:rsidP="00A828F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28FA" w:rsidRPr="00CE3194" w14:paraId="4921B18D" w14:textId="77777777" w:rsidTr="00A828FA">
        <w:tc>
          <w:tcPr>
            <w:tcW w:w="2660" w:type="dxa"/>
          </w:tcPr>
          <w:p w14:paraId="7FC1151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D528DE3" w14:textId="77777777" w:rsidR="0050402B" w:rsidRDefault="0050402B" w:rsidP="0050402B">
            <w:pPr>
              <w:jc w:val="both"/>
              <w:rPr>
                <w:rFonts w:ascii="Arial" w:hAnsi="Arial" w:cs="Arial"/>
                <w:i/>
                <w:sz w:val="20"/>
                <w:szCs w:val="20"/>
                <w:highlight w:val="lightGray"/>
              </w:rPr>
            </w:pPr>
          </w:p>
          <w:p w14:paraId="531A0D6A" w14:textId="77777777" w:rsidR="00A828FA"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9816E15"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568D58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1D5455D" w14:textId="5B904CAF"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6DD2AAA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5EA5091"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61EF0DB" w14:textId="77777777" w:rsidTr="00A828FA">
        <w:tc>
          <w:tcPr>
            <w:tcW w:w="2660" w:type="dxa"/>
          </w:tcPr>
          <w:p w14:paraId="2CA5572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5E0C257D" w14:textId="77777777" w:rsidR="0074539F" w:rsidRPr="00CE3194" w:rsidRDefault="0074539F" w:rsidP="00A828FA">
            <w:pPr>
              <w:jc w:val="both"/>
              <w:rPr>
                <w:rFonts w:ascii="Arial" w:hAnsi="Arial" w:cs="Arial"/>
                <w:i/>
                <w:sz w:val="20"/>
                <w:szCs w:val="20"/>
                <w:highlight w:val="lightGray"/>
              </w:rPr>
            </w:pPr>
          </w:p>
        </w:tc>
        <w:tc>
          <w:tcPr>
            <w:tcW w:w="6520" w:type="dxa"/>
          </w:tcPr>
          <w:p w14:paraId="13071576" w14:textId="2880E70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11CF1CAC" w14:textId="49DAAAD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18BACED" w14:textId="64D8EF1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7D341F">
              <w:rPr>
                <w:rFonts w:cs="Arial"/>
                <w:i/>
                <w:szCs w:val="20"/>
                <w:highlight w:val="lightGray"/>
              </w:rPr>
              <w:t>gewährleisten</w:t>
            </w:r>
            <w:r w:rsidRPr="00CE3194">
              <w:rPr>
                <w:rFonts w:cs="Arial"/>
                <w:i/>
                <w:szCs w:val="20"/>
                <w:highlight w:val="lightGray"/>
              </w:rPr>
              <w:t xml:space="preserve"> ein angemessenes Dokumentations- und Archivierungswesen;</w:t>
            </w:r>
          </w:p>
          <w:p w14:paraId="7675F402" w14:textId="77777777" w:rsidR="0074539F" w:rsidRPr="00CE3194" w:rsidRDefault="0074539F"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28FA" w14:paraId="46ED3651" w14:textId="77777777" w:rsidTr="00A828FA">
        <w:tc>
          <w:tcPr>
            <w:tcW w:w="2660" w:type="dxa"/>
          </w:tcPr>
          <w:p w14:paraId="0C0ACC6A" w14:textId="77777777" w:rsidR="00A828FA" w:rsidRDefault="00A828FA" w:rsidP="00A828F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550C398" w14:textId="03794ADB"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566C63D3"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Annahmen und Parameter des Risikomanagements werden regelmässig validiert;</w:t>
            </w:r>
          </w:p>
          <w:p w14:paraId="173E8C0B"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58F352C" w14:textId="77777777" w:rsidR="00A828FA" w:rsidRPr="00CE3194" w:rsidRDefault="00A828FA" w:rsidP="00A828F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AD17A09" w14:textId="77777777" w:rsidR="00A828FA" w:rsidRPr="005B66F8" w:rsidRDefault="00A828FA" w:rsidP="00A828F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1F7B525" w14:textId="742CF53A"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15498E3B" w14:textId="77777777" w:rsidR="00A828FA" w:rsidRDefault="00A828FA" w:rsidP="00CB3EE6">
      <w:pPr>
        <w:jc w:val="both"/>
        <w:rPr>
          <w:rFonts w:cs="Arial"/>
          <w:szCs w:val="20"/>
        </w:rPr>
      </w:pPr>
    </w:p>
    <w:p w14:paraId="41E227E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C20B04B" w14:textId="77777777" w:rsidR="00E70DF4" w:rsidRDefault="00E70DF4" w:rsidP="00CB3EE6">
      <w:pPr>
        <w:jc w:val="both"/>
        <w:rPr>
          <w:rFonts w:cs="Arial"/>
          <w:szCs w:val="20"/>
        </w:rPr>
      </w:pPr>
    </w:p>
    <w:p w14:paraId="2D17E0A6" w14:textId="77777777" w:rsidR="00A828FA" w:rsidRPr="006730AC" w:rsidRDefault="00A828FA" w:rsidP="00CB3EE6">
      <w:pPr>
        <w:jc w:val="both"/>
        <w:rPr>
          <w:rFonts w:cs="Arial"/>
          <w:szCs w:val="20"/>
        </w:rPr>
      </w:pPr>
    </w:p>
    <w:p w14:paraId="08120B03" w14:textId="77777777" w:rsidR="006067FE" w:rsidRPr="006730AC" w:rsidRDefault="006067FE" w:rsidP="006F7AB5">
      <w:pPr>
        <w:pStyle w:val="FINMAGliederungEbene3"/>
      </w:pPr>
      <w:bookmarkStart w:id="32" w:name="_Toc216425781"/>
      <w:r>
        <w:t>Marktrisiken: Risiken aus Credit valuation adjustments (CVA)</w:t>
      </w:r>
      <w:r w:rsidR="00543DCA">
        <w:t xml:space="preserve"> (GR-14)</w:t>
      </w:r>
      <w:bookmarkEnd w:id="32"/>
    </w:p>
    <w:p w14:paraId="373D293D" w14:textId="77777777" w:rsidR="00996F3A" w:rsidRDefault="00996F3A"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2AC68A29" w14:textId="77777777" w:rsidTr="00DB5BE8">
        <w:trPr>
          <w:trHeight w:val="563"/>
        </w:trPr>
        <w:tc>
          <w:tcPr>
            <w:tcW w:w="1932" w:type="dxa"/>
          </w:tcPr>
          <w:p w14:paraId="4063D70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513C5D5D"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3D6995F"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054C5F9D" w14:textId="77777777" w:rsidTr="00DB5BE8">
        <w:trPr>
          <w:trHeight w:val="698"/>
        </w:trPr>
        <w:tc>
          <w:tcPr>
            <w:tcW w:w="1932" w:type="dxa"/>
          </w:tcPr>
          <w:p w14:paraId="1DAF06A9" w14:textId="3116EF50"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E9F4AF9"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00C1A89"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B62B8B6"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554E7C5"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4F5D2DCF" w14:textId="77777777" w:rsidTr="00DB5BE8">
        <w:trPr>
          <w:trHeight w:val="636"/>
        </w:trPr>
        <w:tc>
          <w:tcPr>
            <w:tcW w:w="9180" w:type="dxa"/>
            <w:gridSpan w:val="4"/>
          </w:tcPr>
          <w:p w14:paraId="5DFCC4DA" w14:textId="77777777" w:rsidR="00A84BF6" w:rsidRDefault="00A84BF6" w:rsidP="00DB5BE8">
            <w:pPr>
              <w:jc w:val="both"/>
              <w:rPr>
                <w:rFonts w:ascii="Arial" w:hAnsi="Arial" w:cs="Arial"/>
                <w:sz w:val="18"/>
                <w:szCs w:val="18"/>
              </w:rPr>
            </w:pPr>
          </w:p>
          <w:p w14:paraId="4518CF96" w14:textId="77777777" w:rsidR="00A84BF6" w:rsidRDefault="00A84BF6"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3E09903" w14:textId="6E0EC5B4" w:rsidR="00A84BF6" w:rsidRPr="00A32220" w:rsidRDefault="00A84BF6" w:rsidP="00DB5BE8">
            <w:pPr>
              <w:jc w:val="both"/>
              <w:rPr>
                <w:rFonts w:ascii="Arial" w:hAnsi="Arial" w:cs="Arial"/>
                <w:sz w:val="18"/>
                <w:szCs w:val="18"/>
                <w:highlight w:val="yellow"/>
              </w:rPr>
            </w:pPr>
            <w:r w:rsidRPr="00847614">
              <w:rPr>
                <w:rFonts w:ascii="Arial" w:hAnsi="Arial" w:cs="Arial"/>
                <w:sz w:val="18"/>
                <w:szCs w:val="18"/>
                <w:highlight w:val="yellow"/>
              </w:rPr>
              <w:t>Art. 7</w:t>
            </w:r>
            <w:r w:rsidR="00F84239" w:rsidRPr="0067573A">
              <w:rPr>
                <w:rFonts w:ascii="Arial" w:hAnsi="Arial" w:cs="Arial"/>
                <w:sz w:val="18"/>
                <w:szCs w:val="18"/>
                <w:highlight w:val="yellow"/>
              </w:rPr>
              <w:t>9</w:t>
            </w:r>
            <w:r w:rsidRPr="00B13D1E">
              <w:rPr>
                <w:rFonts w:ascii="Arial" w:hAnsi="Arial" w:cs="Arial"/>
                <w:sz w:val="18"/>
                <w:szCs w:val="18"/>
                <w:highlight w:val="yellow"/>
              </w:rPr>
              <w:t xml:space="preserve"> BankG; Art. 21</w:t>
            </w:r>
            <w:r w:rsidRPr="002F5A80">
              <w:rPr>
                <w:rFonts w:ascii="Arial" w:hAnsi="Arial" w:cs="Arial"/>
                <w:sz w:val="18"/>
                <w:szCs w:val="18"/>
                <w:highlight w:val="yellow"/>
              </w:rPr>
              <w:t xml:space="preserve"> BankV </w:t>
            </w:r>
            <w:r w:rsidR="00752F45" w:rsidRPr="002F5A80">
              <w:rPr>
                <w:rFonts w:ascii="Arial" w:hAnsi="Arial" w:cs="Arial"/>
                <w:sz w:val="18"/>
                <w:szCs w:val="18"/>
                <w:highlight w:val="yellow"/>
              </w:rPr>
              <w:t>Art. 16 BankV</w:t>
            </w:r>
            <w:r w:rsidR="00752F45" w:rsidRPr="00FD0C9A" w:rsidDel="00F84239">
              <w:rPr>
                <w:rFonts w:ascii="Arial" w:hAnsi="Arial" w:cs="Arial"/>
                <w:sz w:val="18"/>
                <w:szCs w:val="18"/>
                <w:highlight w:val="yellow"/>
              </w:rPr>
              <w:t xml:space="preserve"> </w:t>
            </w:r>
            <w:r w:rsidR="0021306E" w:rsidRPr="00A32220">
              <w:rPr>
                <w:rFonts w:ascii="Arial" w:hAnsi="Arial" w:cs="Arial"/>
                <w:sz w:val="18"/>
                <w:szCs w:val="18"/>
                <w:highlight w:val="yellow"/>
              </w:rPr>
              <w:t>Art. 10-11 BankV,</w:t>
            </w:r>
          </w:p>
          <w:p w14:paraId="3A5AFB08" w14:textId="55D6140D" w:rsidR="00A84BF6" w:rsidRPr="009872F3" w:rsidRDefault="00A84BF6" w:rsidP="00DB5BE8">
            <w:pPr>
              <w:jc w:val="both"/>
              <w:rPr>
                <w:rFonts w:ascii="Arial" w:hAnsi="Arial" w:cs="Arial"/>
                <w:sz w:val="18"/>
                <w:szCs w:val="18"/>
              </w:rPr>
            </w:pPr>
            <w:r w:rsidRPr="00CB3EE6">
              <w:rPr>
                <w:rFonts w:ascii="Arial" w:hAnsi="Arial" w:cs="Arial"/>
                <w:sz w:val="18"/>
                <w:szCs w:val="18"/>
                <w:highlight w:val="yellow"/>
              </w:rPr>
              <w:t xml:space="preserve">FMA-Mitteilung 2017/4 (inkl. regulatorische Grundlagen im Anhang); Art. 381 Verordnung (EU) </w:t>
            </w:r>
            <w:r>
              <w:rPr>
                <w:rFonts w:ascii="Arial" w:hAnsi="Arial" w:cs="Arial"/>
                <w:sz w:val="18"/>
                <w:szCs w:val="18"/>
                <w:highlight w:val="yellow"/>
              </w:rPr>
              <w:t xml:space="preserve">Nr. </w:t>
            </w:r>
            <w:r w:rsidRPr="00CB3EE6">
              <w:rPr>
                <w:rFonts w:ascii="Arial" w:hAnsi="Arial" w:cs="Arial"/>
                <w:sz w:val="18"/>
                <w:szCs w:val="18"/>
                <w:highlight w:val="yellow"/>
              </w:rPr>
              <w:t>575/2013</w:t>
            </w:r>
            <w:r w:rsidR="009E273B">
              <w:rPr>
                <w:rFonts w:ascii="Arial" w:hAnsi="Arial" w:cs="Arial"/>
                <w:sz w:val="18"/>
                <w:szCs w:val="18"/>
                <w:highlight w:val="yellow"/>
              </w:rPr>
              <w:t>; EBA/GL/2021/05</w:t>
            </w:r>
          </w:p>
        </w:tc>
      </w:tr>
      <w:tr w:rsidR="00A84BF6" w:rsidRPr="009872F3" w14:paraId="2A7C892D" w14:textId="77777777" w:rsidTr="00DB5BE8">
        <w:trPr>
          <w:trHeight w:val="294"/>
        </w:trPr>
        <w:tc>
          <w:tcPr>
            <w:tcW w:w="9180" w:type="dxa"/>
            <w:gridSpan w:val="4"/>
          </w:tcPr>
          <w:p w14:paraId="44B3381D" w14:textId="77777777" w:rsidR="00A84BF6" w:rsidRPr="009872F3" w:rsidRDefault="00A84BF6" w:rsidP="00DB5BE8">
            <w:pPr>
              <w:jc w:val="both"/>
              <w:rPr>
                <w:rFonts w:ascii="Arial" w:hAnsi="Arial" w:cs="Arial"/>
                <w:sz w:val="18"/>
                <w:szCs w:val="18"/>
              </w:rPr>
            </w:pPr>
          </w:p>
        </w:tc>
      </w:tr>
      <w:tr w:rsidR="00A84BF6" w:rsidRPr="009872F3" w14:paraId="4F11EC3B" w14:textId="77777777" w:rsidTr="00DB5BE8">
        <w:tc>
          <w:tcPr>
            <w:tcW w:w="5798" w:type="dxa"/>
            <w:gridSpan w:val="3"/>
          </w:tcPr>
          <w:p w14:paraId="06A7589F" w14:textId="114331EC"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Risiken aus Credit valuation adjustments (CVA) </w:t>
            </w:r>
            <w:r w:rsidRPr="00C1307E">
              <w:rPr>
                <w:rFonts w:ascii="Arial" w:hAnsi="Arial" w:cs="Arial"/>
                <w:sz w:val="18"/>
                <w:szCs w:val="18"/>
              </w:rPr>
              <w:t>angemessen ausgestaltet ist.</w:t>
            </w:r>
          </w:p>
        </w:tc>
        <w:tc>
          <w:tcPr>
            <w:tcW w:w="3382" w:type="dxa"/>
          </w:tcPr>
          <w:p w14:paraId="5CFF73FF"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34FE894D" w14:textId="77777777" w:rsidTr="002E5C20">
        <w:trPr>
          <w:trHeight w:val="628"/>
        </w:trPr>
        <w:tc>
          <w:tcPr>
            <w:tcW w:w="5798" w:type="dxa"/>
            <w:gridSpan w:val="3"/>
          </w:tcPr>
          <w:p w14:paraId="7DA0712A" w14:textId="56B1C745"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Risiken aus Credit valuation adjustments (CVA)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F226161"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4212BE5A" w14:textId="77777777" w:rsidTr="00DB5BE8">
        <w:tc>
          <w:tcPr>
            <w:tcW w:w="5798" w:type="dxa"/>
            <w:gridSpan w:val="3"/>
          </w:tcPr>
          <w:p w14:paraId="23E61841" w14:textId="301F2F3A" w:rsidR="00A84BF6" w:rsidRPr="00C1307E" w:rsidRDefault="00A84BF6" w:rsidP="00DF1664">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Risiken aus Credit valuation adjustments (CVA)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D3D41D1"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1D4AD9"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19C226C" w14:textId="77777777" w:rsidTr="00DB5BE8">
        <w:tc>
          <w:tcPr>
            <w:tcW w:w="2660" w:type="dxa"/>
          </w:tcPr>
          <w:p w14:paraId="52CD63F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C80BB3F"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6B2606D" w14:textId="77777777" w:rsidTr="00DB5BE8">
        <w:tc>
          <w:tcPr>
            <w:tcW w:w="2660" w:type="dxa"/>
          </w:tcPr>
          <w:p w14:paraId="3DE16E77"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C578DEC" w14:textId="77777777" w:rsidR="0050402B" w:rsidRDefault="0050402B" w:rsidP="0050402B">
            <w:pPr>
              <w:jc w:val="both"/>
              <w:rPr>
                <w:rFonts w:ascii="Arial" w:hAnsi="Arial" w:cs="Arial"/>
                <w:i/>
                <w:sz w:val="20"/>
                <w:szCs w:val="20"/>
                <w:highlight w:val="lightGray"/>
              </w:rPr>
            </w:pPr>
          </w:p>
          <w:p w14:paraId="15EC3D2D" w14:textId="77777777" w:rsidR="00A84BF6"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2F3A1C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792B64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2685B5F" w14:textId="71584DC4"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8863CB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20D49705"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0A3D65A" w14:textId="77777777" w:rsidTr="00DB5BE8">
        <w:tc>
          <w:tcPr>
            <w:tcW w:w="2660" w:type="dxa"/>
          </w:tcPr>
          <w:p w14:paraId="542A059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6B267E4C" w14:textId="77777777" w:rsidR="0074539F" w:rsidRPr="00CE3194" w:rsidRDefault="0074539F" w:rsidP="00DB5BE8">
            <w:pPr>
              <w:jc w:val="both"/>
              <w:rPr>
                <w:rFonts w:ascii="Arial" w:hAnsi="Arial" w:cs="Arial"/>
                <w:i/>
                <w:sz w:val="20"/>
                <w:szCs w:val="20"/>
                <w:highlight w:val="lightGray"/>
              </w:rPr>
            </w:pPr>
          </w:p>
        </w:tc>
        <w:tc>
          <w:tcPr>
            <w:tcW w:w="6520" w:type="dxa"/>
          </w:tcPr>
          <w:p w14:paraId="3EC82C23" w14:textId="47C3776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2051FE61" w14:textId="63AC5C4D"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498838B" w14:textId="665DD8C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9FB16B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6AC19942" w14:textId="77777777" w:rsidTr="00DB5BE8">
        <w:tc>
          <w:tcPr>
            <w:tcW w:w="2660" w:type="dxa"/>
          </w:tcPr>
          <w:p w14:paraId="08633369"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60B7E828" w14:textId="7119C1F0"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0A523C66"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FE3BDD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EF5CD93"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DE4CE8A"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6DC414B" w14:textId="30C8DC1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20216FF7" w14:textId="77777777" w:rsidR="00996F3A" w:rsidRDefault="00996F3A" w:rsidP="00CB3EE6">
      <w:pPr>
        <w:jc w:val="both"/>
        <w:rPr>
          <w:rFonts w:cs="Arial"/>
          <w:szCs w:val="20"/>
        </w:rPr>
      </w:pPr>
    </w:p>
    <w:p w14:paraId="3DD11B4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A10C771" w14:textId="77777777" w:rsidR="00E70DF4" w:rsidRDefault="00E70DF4" w:rsidP="00CB3EE6">
      <w:pPr>
        <w:jc w:val="both"/>
        <w:rPr>
          <w:rFonts w:cs="Arial"/>
          <w:szCs w:val="20"/>
        </w:rPr>
      </w:pPr>
    </w:p>
    <w:p w14:paraId="10C00090" w14:textId="77777777" w:rsidR="00996F3A" w:rsidRPr="006730AC" w:rsidRDefault="00996F3A" w:rsidP="00CB3EE6">
      <w:pPr>
        <w:jc w:val="both"/>
        <w:rPr>
          <w:rFonts w:cs="Arial"/>
          <w:szCs w:val="20"/>
        </w:rPr>
      </w:pPr>
    </w:p>
    <w:p w14:paraId="30E244DE" w14:textId="24AF9215" w:rsidR="006067FE" w:rsidRPr="002E5C20" w:rsidRDefault="00764E6A" w:rsidP="006F7AB5">
      <w:pPr>
        <w:pStyle w:val="FINMAGliederungEbene3"/>
        <w:rPr>
          <w:highlight w:val="yellow"/>
        </w:rPr>
      </w:pPr>
      <w:bookmarkStart w:id="33" w:name="_Toc216425782"/>
      <w:r w:rsidRPr="002E5C20">
        <w:rPr>
          <w:highlight w:val="yellow"/>
        </w:rPr>
        <w:t>[</w:t>
      </w:r>
      <w:r w:rsidR="006067FE" w:rsidRPr="002E5C20">
        <w:rPr>
          <w:highlight w:val="yellow"/>
        </w:rPr>
        <w:t xml:space="preserve">Weitere Marktrisiken von der </w:t>
      </w:r>
      <w:r w:rsidR="009F1ACA" w:rsidRPr="00A938AE">
        <w:rPr>
          <w:highlight w:val="yellow"/>
        </w:rPr>
        <w:t>Revisionsstelle</w:t>
      </w:r>
      <w:r w:rsidR="006067FE" w:rsidRPr="002E5C20">
        <w:rPr>
          <w:highlight w:val="yellow"/>
        </w:rPr>
        <w:t xml:space="preserve"> zu definieren</w:t>
      </w:r>
      <w:r w:rsidRPr="002E5C20">
        <w:rPr>
          <w:highlight w:val="yellow"/>
        </w:rPr>
        <w:t>]</w:t>
      </w:r>
      <w:r w:rsidR="00543DCA" w:rsidRPr="002E5C20">
        <w:rPr>
          <w:highlight w:val="yellow"/>
        </w:rPr>
        <w:t xml:space="preserve"> (GR-15)</w:t>
      </w:r>
      <w:bookmarkEnd w:id="33"/>
    </w:p>
    <w:p w14:paraId="7378C718"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35D84550" w14:textId="77777777" w:rsidTr="00DB5BE8">
        <w:trPr>
          <w:trHeight w:val="563"/>
        </w:trPr>
        <w:tc>
          <w:tcPr>
            <w:tcW w:w="1932" w:type="dxa"/>
          </w:tcPr>
          <w:p w14:paraId="7B7AEABC"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58C3ACA"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FB82109"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7382E6B0" w14:textId="77777777" w:rsidTr="00DB5BE8">
        <w:trPr>
          <w:trHeight w:val="698"/>
        </w:trPr>
        <w:tc>
          <w:tcPr>
            <w:tcW w:w="1932" w:type="dxa"/>
          </w:tcPr>
          <w:p w14:paraId="44E7EF3F" w14:textId="57E7A541"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0D20DEB"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56CB587"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67CEEF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1E90573"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00A648D3" w14:textId="77777777" w:rsidTr="00DB5BE8">
        <w:trPr>
          <w:trHeight w:val="636"/>
        </w:trPr>
        <w:tc>
          <w:tcPr>
            <w:tcW w:w="9180" w:type="dxa"/>
            <w:gridSpan w:val="4"/>
          </w:tcPr>
          <w:p w14:paraId="7FD8ECF0" w14:textId="77777777" w:rsidR="00A84BF6" w:rsidRDefault="00A84BF6" w:rsidP="00DB5BE8">
            <w:pPr>
              <w:jc w:val="both"/>
              <w:rPr>
                <w:rFonts w:ascii="Arial" w:hAnsi="Arial" w:cs="Arial"/>
                <w:sz w:val="18"/>
                <w:szCs w:val="18"/>
              </w:rPr>
            </w:pPr>
          </w:p>
          <w:p w14:paraId="4006AEE5"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5B705CD5"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0C13D568" w14:textId="77777777" w:rsidTr="00DB5BE8">
        <w:trPr>
          <w:trHeight w:val="294"/>
        </w:trPr>
        <w:tc>
          <w:tcPr>
            <w:tcW w:w="9180" w:type="dxa"/>
            <w:gridSpan w:val="4"/>
          </w:tcPr>
          <w:p w14:paraId="06447A48" w14:textId="77777777" w:rsidR="00A84BF6" w:rsidRPr="009872F3" w:rsidRDefault="00A84BF6" w:rsidP="00DB5BE8">
            <w:pPr>
              <w:jc w:val="both"/>
              <w:rPr>
                <w:rFonts w:ascii="Arial" w:hAnsi="Arial" w:cs="Arial"/>
                <w:sz w:val="18"/>
                <w:szCs w:val="18"/>
              </w:rPr>
            </w:pPr>
          </w:p>
        </w:tc>
      </w:tr>
      <w:tr w:rsidR="00A84BF6" w:rsidRPr="009872F3" w14:paraId="5D953F0F" w14:textId="77777777" w:rsidTr="00DB5BE8">
        <w:tc>
          <w:tcPr>
            <w:tcW w:w="5798" w:type="dxa"/>
            <w:gridSpan w:val="3"/>
          </w:tcPr>
          <w:p w14:paraId="6FEEAD0F"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27214D0"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5831E6A1" w14:textId="77777777" w:rsidTr="00DB5BE8">
        <w:tc>
          <w:tcPr>
            <w:tcW w:w="5798" w:type="dxa"/>
            <w:gridSpan w:val="3"/>
          </w:tcPr>
          <w:p w14:paraId="41A117F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C2024D5"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85E4DFC" w14:textId="77777777" w:rsidTr="00DB5BE8">
        <w:tc>
          <w:tcPr>
            <w:tcW w:w="5798" w:type="dxa"/>
            <w:gridSpan w:val="3"/>
          </w:tcPr>
          <w:p w14:paraId="0D6993DF"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Marktrisiken - </w:t>
            </w:r>
            <w:r w:rsidRPr="00276C60">
              <w:rPr>
                <w:rFonts w:ascii="Arial" w:hAnsi="Arial" w:cs="Arial"/>
                <w:sz w:val="18"/>
                <w:szCs w:val="18"/>
                <w:highlight w:val="yellow"/>
              </w:rPr>
              <w:t>tbd]</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65A7C4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4E2C477"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4920404" w14:textId="77777777" w:rsidTr="00DB5BE8">
        <w:tc>
          <w:tcPr>
            <w:tcW w:w="2660" w:type="dxa"/>
          </w:tcPr>
          <w:p w14:paraId="1A97F64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2CEDA1A"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0B2D2C2D" w14:textId="77777777" w:rsidTr="00DB5BE8">
        <w:tc>
          <w:tcPr>
            <w:tcW w:w="2660" w:type="dxa"/>
          </w:tcPr>
          <w:p w14:paraId="50B0EEDC"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EC84CDB" w14:textId="77777777" w:rsidR="0050402B" w:rsidRDefault="0050402B" w:rsidP="0050402B">
            <w:pPr>
              <w:jc w:val="both"/>
              <w:rPr>
                <w:rFonts w:ascii="Arial" w:hAnsi="Arial" w:cs="Arial"/>
                <w:i/>
                <w:sz w:val="20"/>
                <w:szCs w:val="20"/>
                <w:highlight w:val="lightGray"/>
              </w:rPr>
            </w:pPr>
          </w:p>
          <w:p w14:paraId="55394CB7" w14:textId="77777777" w:rsidR="00A84BF6"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xml:space="preserve">, </w:t>
            </w:r>
            <w:r w:rsidRPr="00667026">
              <w:rPr>
                <w:rFonts w:ascii="Arial" w:hAnsi="Arial" w:cs="Arial"/>
                <w:i/>
                <w:sz w:val="20"/>
                <w:szCs w:val="20"/>
                <w:highlight w:val="lightGray"/>
              </w:rPr>
              <w:lastRenderedPageBreak/>
              <w:t>Know-How, Interessenskonflikte)</w:t>
            </w:r>
          </w:p>
        </w:tc>
        <w:tc>
          <w:tcPr>
            <w:tcW w:w="6520" w:type="dxa"/>
          </w:tcPr>
          <w:p w14:paraId="1240FC8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6225483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B4F8EFD" w14:textId="395320B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62D5E2B"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58284C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Anzahl und Zusammensetzung der internen Ausschüsse sind angemessen;</w:t>
            </w:r>
          </w:p>
        </w:tc>
      </w:tr>
      <w:tr w:rsidR="0074539F" w:rsidRPr="00CE3194" w14:paraId="0E75477A" w14:textId="77777777" w:rsidTr="00DB5BE8">
        <w:tc>
          <w:tcPr>
            <w:tcW w:w="2660" w:type="dxa"/>
          </w:tcPr>
          <w:p w14:paraId="5F04785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49887738" w14:textId="77777777" w:rsidR="0074539F" w:rsidRPr="00CE3194" w:rsidRDefault="0074539F" w:rsidP="00DB5BE8">
            <w:pPr>
              <w:jc w:val="both"/>
              <w:rPr>
                <w:rFonts w:ascii="Arial" w:hAnsi="Arial" w:cs="Arial"/>
                <w:i/>
                <w:sz w:val="20"/>
                <w:szCs w:val="20"/>
                <w:highlight w:val="lightGray"/>
              </w:rPr>
            </w:pPr>
          </w:p>
        </w:tc>
        <w:tc>
          <w:tcPr>
            <w:tcW w:w="6520" w:type="dxa"/>
          </w:tcPr>
          <w:p w14:paraId="1352773D" w14:textId="11F70EB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5DB5151B" w14:textId="451AEA11"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6F7A49F" w14:textId="349262F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5732C3F"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697C24D" w14:textId="77777777" w:rsidTr="00DB5BE8">
        <w:tc>
          <w:tcPr>
            <w:tcW w:w="2660" w:type="dxa"/>
          </w:tcPr>
          <w:p w14:paraId="4443DDF3"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7AA689D1" w14:textId="4DFBACFD"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r w:rsidR="00D95839">
              <w:rPr>
                <w:rFonts w:cs="Arial"/>
                <w:i/>
                <w:szCs w:val="20"/>
                <w:highlight w:val="lightGray"/>
              </w:rPr>
              <w:t>, insofern relevant.</w:t>
            </w:r>
          </w:p>
          <w:p w14:paraId="62020F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04104C65"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04F6403"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22EFAC1"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0BC65BD" w14:textId="60AFAB1A"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Pr="00055C14">
              <w:rPr>
                <w:rFonts w:cs="Arial"/>
                <w:i/>
                <w:szCs w:val="20"/>
                <w:highlight w:val="lightGray"/>
              </w:rPr>
              <w:t xml:space="preserv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r w:rsidR="00D95839" w:rsidRPr="00A938AE">
              <w:rPr>
                <w:rFonts w:cs="Arial"/>
                <w:i/>
                <w:szCs w:val="20"/>
                <w:highlight w:val="lightGray"/>
              </w:rPr>
              <w:t>, insofern relevant</w:t>
            </w:r>
          </w:p>
        </w:tc>
      </w:tr>
    </w:tbl>
    <w:p w14:paraId="1705E67E" w14:textId="77777777" w:rsidR="00A84BF6" w:rsidRDefault="00A84BF6" w:rsidP="00CB3EE6">
      <w:pPr>
        <w:jc w:val="both"/>
        <w:rPr>
          <w:rFonts w:cs="Arial"/>
          <w:szCs w:val="20"/>
        </w:rPr>
      </w:pPr>
    </w:p>
    <w:p w14:paraId="586838C1"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1561ACE" w14:textId="77777777" w:rsidR="00E70DF4" w:rsidRDefault="00E70DF4" w:rsidP="00CB3EE6">
      <w:pPr>
        <w:jc w:val="both"/>
        <w:rPr>
          <w:rFonts w:cs="Arial"/>
          <w:szCs w:val="20"/>
        </w:rPr>
      </w:pPr>
    </w:p>
    <w:p w14:paraId="4F4F30BE" w14:textId="77777777" w:rsidR="00A84BF6" w:rsidRPr="006730AC" w:rsidRDefault="00A84BF6" w:rsidP="00CB3EE6">
      <w:pPr>
        <w:jc w:val="both"/>
        <w:rPr>
          <w:rFonts w:cs="Arial"/>
          <w:szCs w:val="20"/>
        </w:rPr>
      </w:pPr>
    </w:p>
    <w:p w14:paraId="2C0DD60C" w14:textId="77777777" w:rsidR="006067FE" w:rsidRPr="006730AC" w:rsidRDefault="006067FE" w:rsidP="006F7AB5">
      <w:pPr>
        <w:pStyle w:val="FINMAGliederungEbene3"/>
      </w:pPr>
      <w:bookmarkStart w:id="34" w:name="_Toc216425783"/>
      <w:r w:rsidRPr="00CB3EE6">
        <w:t xml:space="preserve">Operationelle Risiken im Zusammenhang mit </w:t>
      </w:r>
      <w:r w:rsidR="00A84BF6" w:rsidRPr="00CB3EE6">
        <w:t xml:space="preserve">dem Brokerage und Depotgeschäft für Kunden inkl. </w:t>
      </w:r>
      <w:r w:rsidRPr="00CB3EE6">
        <w:t>„Execution-only“ Geschäft</w:t>
      </w:r>
      <w:r w:rsidR="00DF1664">
        <w:t>en</w:t>
      </w:r>
      <w:r w:rsidR="00295664">
        <w:t xml:space="preserve"> für Kunden</w:t>
      </w:r>
      <w:r w:rsidR="00543DCA" w:rsidRPr="00CB3EE6">
        <w:t xml:space="preserve"> </w:t>
      </w:r>
      <w:r w:rsidR="00543DCA" w:rsidRPr="006730AC">
        <w:t>(GR-16)</w:t>
      </w:r>
      <w:bookmarkEnd w:id="34"/>
    </w:p>
    <w:p w14:paraId="29D948DA" w14:textId="77777777" w:rsidR="00A84BF6" w:rsidRPr="00CB3EE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9930B9" w:rsidRPr="009872F3" w14:paraId="36AC8FA7" w14:textId="77777777" w:rsidTr="00DB5BE8">
        <w:trPr>
          <w:trHeight w:val="563"/>
        </w:trPr>
        <w:tc>
          <w:tcPr>
            <w:tcW w:w="1932" w:type="dxa"/>
          </w:tcPr>
          <w:p w14:paraId="0FCC9968"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725E5D3"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3EEAE96"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9930B9" w:rsidRPr="009872F3" w14:paraId="6FFBE596" w14:textId="77777777" w:rsidTr="00DB5BE8">
        <w:trPr>
          <w:trHeight w:val="698"/>
        </w:trPr>
        <w:tc>
          <w:tcPr>
            <w:tcW w:w="1932" w:type="dxa"/>
          </w:tcPr>
          <w:p w14:paraId="150FC75F" w14:textId="6CBB9C9B" w:rsidR="009930B9" w:rsidRPr="006749F0" w:rsidRDefault="009930B9"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96048DA" w14:textId="77777777" w:rsidR="009930B9" w:rsidRPr="006749F0" w:rsidRDefault="009930B9"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DD795A9" w14:textId="77777777" w:rsidR="009930B9" w:rsidRPr="009872F3" w:rsidRDefault="009930B9"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2952C4A" w14:textId="77777777" w:rsidR="009930B9" w:rsidRDefault="009930B9"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FD1000D" w14:textId="77777777" w:rsidR="009930B9" w:rsidRPr="006749F0" w:rsidRDefault="009930B9" w:rsidP="00DB5BE8">
            <w:pPr>
              <w:jc w:val="both"/>
              <w:rPr>
                <w:rFonts w:ascii="Arial" w:hAnsi="Arial" w:cs="Arial"/>
                <w:i/>
                <w:sz w:val="18"/>
                <w:szCs w:val="18"/>
              </w:rPr>
            </w:pPr>
            <w:r w:rsidRPr="006749F0">
              <w:rPr>
                <w:rFonts w:ascii="Arial" w:hAnsi="Arial" w:cs="Arial"/>
                <w:i/>
                <w:sz w:val="18"/>
                <w:szCs w:val="18"/>
                <w:highlight w:val="yellow"/>
              </w:rPr>
              <w:t>Jahr</w:t>
            </w:r>
          </w:p>
        </w:tc>
      </w:tr>
      <w:tr w:rsidR="009930B9" w:rsidRPr="009872F3" w14:paraId="5C0D3DA7" w14:textId="77777777" w:rsidTr="00DB5BE8">
        <w:trPr>
          <w:trHeight w:val="636"/>
        </w:trPr>
        <w:tc>
          <w:tcPr>
            <w:tcW w:w="9180" w:type="dxa"/>
            <w:gridSpan w:val="4"/>
          </w:tcPr>
          <w:p w14:paraId="2DA396CA" w14:textId="77777777" w:rsidR="009930B9" w:rsidRDefault="009930B9" w:rsidP="00DB5BE8">
            <w:pPr>
              <w:jc w:val="both"/>
              <w:rPr>
                <w:rFonts w:ascii="Arial" w:hAnsi="Arial" w:cs="Arial"/>
                <w:sz w:val="18"/>
                <w:szCs w:val="18"/>
              </w:rPr>
            </w:pPr>
          </w:p>
          <w:p w14:paraId="77DCA16A" w14:textId="77777777" w:rsidR="009930B9" w:rsidRDefault="009930B9"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6295E22" w14:textId="372277DA" w:rsidR="000B1ED2" w:rsidRPr="009872F3" w:rsidRDefault="000B1ED2" w:rsidP="00DB5BE8">
            <w:pPr>
              <w:jc w:val="both"/>
              <w:rPr>
                <w:rFonts w:ascii="Arial" w:hAnsi="Arial" w:cs="Arial"/>
                <w:sz w:val="18"/>
                <w:szCs w:val="18"/>
              </w:rPr>
            </w:pPr>
            <w:r w:rsidRPr="00E7109B">
              <w:rPr>
                <w:rFonts w:ascii="Arial" w:hAnsi="Arial" w:cs="Arial"/>
                <w:sz w:val="18"/>
                <w:szCs w:val="18"/>
                <w:highlight w:val="yellow"/>
              </w:rPr>
              <w:t>Art. 7</w:t>
            </w:r>
            <w:r w:rsidR="00EC67F5" w:rsidRPr="00E7109B">
              <w:rPr>
                <w:rFonts w:ascii="Arial" w:hAnsi="Arial" w:cs="Arial"/>
                <w:sz w:val="18"/>
                <w:szCs w:val="18"/>
                <w:highlight w:val="yellow"/>
              </w:rPr>
              <w:t>9</w:t>
            </w:r>
            <w:r w:rsidRPr="00E7109B">
              <w:rPr>
                <w:rFonts w:ascii="Arial" w:hAnsi="Arial" w:cs="Arial"/>
                <w:sz w:val="18"/>
                <w:szCs w:val="18"/>
                <w:highlight w:val="yellow"/>
              </w:rPr>
              <w:t xml:space="preserve"> BankG;</w:t>
            </w:r>
            <w:r w:rsidR="00D408E8" w:rsidRPr="00E7109B">
              <w:rPr>
                <w:rFonts w:ascii="Arial" w:hAnsi="Arial" w:cs="Arial"/>
                <w:sz w:val="18"/>
                <w:szCs w:val="18"/>
                <w:highlight w:val="yellow"/>
              </w:rPr>
              <w:t xml:space="preserve"> Art. 23 BankV</w:t>
            </w:r>
            <w:r w:rsidR="00E7109B" w:rsidRPr="00E7109B">
              <w:rPr>
                <w:rFonts w:ascii="Arial" w:hAnsi="Arial" w:cs="Arial"/>
                <w:sz w:val="18"/>
                <w:szCs w:val="18"/>
                <w:highlight w:val="yellow"/>
              </w:rPr>
              <w:t xml:space="preserve">,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00E7109B" w:rsidRPr="00E7109B">
              <w:rPr>
                <w:rFonts w:ascii="Arial" w:hAnsi="Arial" w:cs="Arial"/>
                <w:sz w:val="18"/>
                <w:szCs w:val="18"/>
                <w:highlight w:val="yellow"/>
              </w:rPr>
              <w:t xml:space="preserve">Art. </w:t>
            </w:r>
            <w:r w:rsidR="00E7109B" w:rsidRPr="00A938AE">
              <w:rPr>
                <w:rFonts w:ascii="Arial" w:hAnsi="Arial" w:cs="Arial"/>
                <w:sz w:val="18"/>
                <w:szCs w:val="18"/>
                <w:highlight w:val="yellow"/>
              </w:rPr>
              <w:t xml:space="preserve">15 WPDG,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9930B9" w:rsidRPr="009872F3" w14:paraId="2A0E89AE" w14:textId="77777777" w:rsidTr="00DB5BE8">
        <w:trPr>
          <w:trHeight w:val="294"/>
        </w:trPr>
        <w:tc>
          <w:tcPr>
            <w:tcW w:w="9180" w:type="dxa"/>
            <w:gridSpan w:val="4"/>
          </w:tcPr>
          <w:p w14:paraId="030320D0" w14:textId="77777777" w:rsidR="009930B9" w:rsidRPr="009872F3" w:rsidRDefault="009930B9" w:rsidP="00DB5BE8">
            <w:pPr>
              <w:jc w:val="both"/>
              <w:rPr>
                <w:rFonts w:ascii="Arial" w:hAnsi="Arial" w:cs="Arial"/>
                <w:sz w:val="18"/>
                <w:szCs w:val="18"/>
              </w:rPr>
            </w:pPr>
          </w:p>
        </w:tc>
      </w:tr>
      <w:tr w:rsidR="009930B9" w:rsidRPr="009872F3" w14:paraId="00BA7BE4" w14:textId="77777777" w:rsidTr="00DB5BE8">
        <w:tc>
          <w:tcPr>
            <w:tcW w:w="5798" w:type="dxa"/>
            <w:gridSpan w:val="3"/>
          </w:tcPr>
          <w:p w14:paraId="0AC4A1F2" w14:textId="1D822DAE" w:rsidR="009930B9" w:rsidRPr="00C1307E" w:rsidRDefault="009930B9"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4858134" w14:textId="77777777" w:rsidR="009930B9" w:rsidRPr="00E109DF" w:rsidRDefault="009930B9"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0B9" w:rsidRPr="009872F3" w14:paraId="3F0C77F0" w14:textId="77777777" w:rsidTr="00DB5BE8">
        <w:tc>
          <w:tcPr>
            <w:tcW w:w="5798" w:type="dxa"/>
            <w:gridSpan w:val="3"/>
          </w:tcPr>
          <w:p w14:paraId="0D2F7EB2" w14:textId="261F1E57" w:rsidR="009930B9" w:rsidRPr="00C1307E" w:rsidRDefault="009930B9"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21C343A" w14:textId="77777777" w:rsidR="009930B9" w:rsidRPr="009872F3" w:rsidRDefault="009930B9"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930B9" w:rsidRPr="009872F3" w14:paraId="22AB6388" w14:textId="77777777" w:rsidTr="00DB5BE8">
        <w:tc>
          <w:tcPr>
            <w:tcW w:w="5798" w:type="dxa"/>
            <w:gridSpan w:val="3"/>
          </w:tcPr>
          <w:p w14:paraId="5C6212C5" w14:textId="12DBB6F1" w:rsidR="009930B9" w:rsidRPr="00C1307E" w:rsidRDefault="009930B9" w:rsidP="00DB5BE8">
            <w:pPr>
              <w:jc w:val="both"/>
              <w:rPr>
                <w:rFonts w:ascii="Arial" w:hAnsi="Arial" w:cs="Arial"/>
                <w:sz w:val="18"/>
                <w:szCs w:val="18"/>
              </w:rPr>
            </w:pPr>
            <w:r w:rsidRPr="00C1307E">
              <w:rPr>
                <w:rFonts w:ascii="Arial" w:hAnsi="Arial" w:cs="Arial"/>
                <w:sz w:val="18"/>
                <w:szCs w:val="18"/>
              </w:rPr>
              <w:lastRenderedPageBreak/>
              <w:t xml:space="preserve">Bestätigung, dass die Methoden zur Identifikation, Bewertung, Messung, Begrenzung, Überwachung und Steuerung von </w:t>
            </w:r>
            <w:r w:rsidR="00DF1664">
              <w:rPr>
                <w:rFonts w:ascii="Arial" w:hAnsi="Arial" w:cs="Arial"/>
                <w:sz w:val="18"/>
                <w:szCs w:val="18"/>
              </w:rPr>
              <w:t>o</w:t>
            </w:r>
            <w:r w:rsidR="000B1ED2">
              <w:rPr>
                <w:rFonts w:ascii="Arial" w:hAnsi="Arial" w:cs="Arial"/>
                <w:sz w:val="18"/>
                <w:szCs w:val="18"/>
              </w:rPr>
              <w:t>perationellen Risiken im Zusammenhang mit dem Brokerage und Depotgeschäft für Kunden inkl. „Execution-only“ Geschäft</w:t>
            </w:r>
            <w:r w:rsidR="00DF1664">
              <w:rPr>
                <w:rFonts w:ascii="Arial" w:hAnsi="Arial" w:cs="Arial"/>
                <w:sz w:val="18"/>
                <w:szCs w:val="18"/>
              </w:rPr>
              <w:t>en</w:t>
            </w:r>
            <w:r w:rsidR="000B1ED2">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976EE94" w14:textId="77777777" w:rsidR="009930B9" w:rsidRPr="009872F3" w:rsidRDefault="009930B9"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41621FD" w14:textId="77777777" w:rsidR="009930B9" w:rsidRPr="00CE3194" w:rsidRDefault="009930B9" w:rsidP="009930B9">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9930B9" w:rsidRPr="00CE3194" w14:paraId="741A72D4" w14:textId="77777777" w:rsidTr="00DB5BE8">
        <w:tc>
          <w:tcPr>
            <w:tcW w:w="2660" w:type="dxa"/>
          </w:tcPr>
          <w:p w14:paraId="0022A8A0" w14:textId="77777777" w:rsidR="009930B9" w:rsidRPr="00CE3194" w:rsidRDefault="009930B9"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CABC110" w14:textId="77777777" w:rsidR="009930B9" w:rsidRPr="00CE3194" w:rsidRDefault="009930B9"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9930B9" w:rsidRPr="00CE3194" w14:paraId="7F5DD9F7" w14:textId="77777777" w:rsidTr="00DB5BE8">
        <w:tc>
          <w:tcPr>
            <w:tcW w:w="2660" w:type="dxa"/>
          </w:tcPr>
          <w:p w14:paraId="35B42C7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C19EDF3" w14:textId="77777777" w:rsidR="0050402B" w:rsidRDefault="0050402B" w:rsidP="0050402B">
            <w:pPr>
              <w:jc w:val="both"/>
              <w:rPr>
                <w:rFonts w:ascii="Arial" w:hAnsi="Arial" w:cs="Arial"/>
                <w:i/>
                <w:sz w:val="20"/>
                <w:szCs w:val="20"/>
                <w:highlight w:val="lightGray"/>
              </w:rPr>
            </w:pPr>
          </w:p>
          <w:p w14:paraId="69CA69A1" w14:textId="77777777" w:rsidR="009930B9"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54323FA"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BC7E32B"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62CF0C" w14:textId="6EEC9BCA"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3FADE4D0"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D2FD728"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3E3BB40" w14:textId="77777777" w:rsidTr="00DB5BE8">
        <w:tc>
          <w:tcPr>
            <w:tcW w:w="2660" w:type="dxa"/>
          </w:tcPr>
          <w:p w14:paraId="4E7FE10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AE88C9B" w14:textId="77777777" w:rsidR="0074539F" w:rsidRPr="00CE3194" w:rsidRDefault="0074539F" w:rsidP="00DB5BE8">
            <w:pPr>
              <w:jc w:val="both"/>
              <w:rPr>
                <w:rFonts w:ascii="Arial" w:hAnsi="Arial" w:cs="Arial"/>
                <w:i/>
                <w:sz w:val="20"/>
                <w:szCs w:val="20"/>
                <w:highlight w:val="lightGray"/>
              </w:rPr>
            </w:pPr>
          </w:p>
        </w:tc>
        <w:tc>
          <w:tcPr>
            <w:tcW w:w="6520" w:type="dxa"/>
          </w:tcPr>
          <w:p w14:paraId="6666DF96" w14:textId="4FD86E12"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139C7010" w14:textId="06217558"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383BEDF" w14:textId="4C9F661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03E5F89"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9930B9" w14:paraId="3F6134A6" w14:textId="77777777" w:rsidTr="00DB5BE8">
        <w:tc>
          <w:tcPr>
            <w:tcW w:w="2660" w:type="dxa"/>
          </w:tcPr>
          <w:p w14:paraId="22934DBC" w14:textId="77777777" w:rsidR="009930B9" w:rsidRDefault="009930B9"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819E3B7" w14:textId="507917DE"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6441A2B8"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0C525F"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4C0E513" w14:textId="77777777" w:rsidR="009930B9" w:rsidRPr="00CE3194" w:rsidRDefault="009930B9"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08EE84C" w14:textId="77777777" w:rsidR="009930B9" w:rsidRPr="005B66F8" w:rsidRDefault="009930B9"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720C637" w14:textId="3D03851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0F2DAA23" w14:textId="77777777" w:rsidR="00A84BF6" w:rsidRDefault="00A84BF6" w:rsidP="00CB3EE6">
      <w:pPr>
        <w:jc w:val="both"/>
        <w:rPr>
          <w:rFonts w:cs="Arial"/>
          <w:szCs w:val="20"/>
          <w:highlight w:val="cyan"/>
        </w:rPr>
      </w:pPr>
    </w:p>
    <w:p w14:paraId="65E4AE6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104376F" w14:textId="77777777" w:rsidR="00A84BF6" w:rsidRDefault="00A84BF6" w:rsidP="00CB3EE6">
      <w:pPr>
        <w:jc w:val="both"/>
        <w:rPr>
          <w:rFonts w:cs="Arial"/>
          <w:szCs w:val="20"/>
          <w:highlight w:val="cyan"/>
        </w:rPr>
      </w:pPr>
    </w:p>
    <w:p w14:paraId="69CF5AC3" w14:textId="77777777" w:rsidR="00E70DF4" w:rsidRPr="006730AC" w:rsidRDefault="00E70DF4" w:rsidP="00CB3EE6">
      <w:pPr>
        <w:jc w:val="both"/>
        <w:rPr>
          <w:rFonts w:cs="Arial"/>
          <w:szCs w:val="20"/>
          <w:highlight w:val="cyan"/>
        </w:rPr>
      </w:pPr>
    </w:p>
    <w:p w14:paraId="52D9E8F1" w14:textId="77777777" w:rsidR="006067FE" w:rsidRPr="006730AC" w:rsidRDefault="006067FE" w:rsidP="006F7AB5">
      <w:pPr>
        <w:pStyle w:val="FINMAGliederungEbene3"/>
      </w:pPr>
      <w:bookmarkStart w:id="35" w:name="_Toc216425784"/>
      <w:r>
        <w:t>Operationelle Risiken im Zusammenhang mit der Anlageberatung für Kunden</w:t>
      </w:r>
      <w:r w:rsidR="00543DCA">
        <w:t xml:space="preserve"> (GR-17)</w:t>
      </w:r>
      <w:bookmarkEnd w:id="35"/>
    </w:p>
    <w:p w14:paraId="0CCA5A4B"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3B0150CF" w14:textId="77777777" w:rsidTr="00DB5BE8">
        <w:trPr>
          <w:trHeight w:val="563"/>
        </w:trPr>
        <w:tc>
          <w:tcPr>
            <w:tcW w:w="1932" w:type="dxa"/>
          </w:tcPr>
          <w:p w14:paraId="49F6A292"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15C7A524"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7171159"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1C6B721A" w14:textId="77777777" w:rsidTr="00DB5BE8">
        <w:trPr>
          <w:trHeight w:val="698"/>
        </w:trPr>
        <w:tc>
          <w:tcPr>
            <w:tcW w:w="1932" w:type="dxa"/>
          </w:tcPr>
          <w:p w14:paraId="3C85E7FF" w14:textId="7473D905"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821F075"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912BC01"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EC343CF"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40D470C"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660156C3" w14:textId="77777777" w:rsidTr="00DB5BE8">
        <w:trPr>
          <w:trHeight w:val="636"/>
        </w:trPr>
        <w:tc>
          <w:tcPr>
            <w:tcW w:w="9180" w:type="dxa"/>
            <w:gridSpan w:val="4"/>
          </w:tcPr>
          <w:p w14:paraId="610501A5" w14:textId="77777777" w:rsidR="000B1ED2" w:rsidRDefault="000B1ED2" w:rsidP="00DB5BE8">
            <w:pPr>
              <w:jc w:val="both"/>
              <w:rPr>
                <w:rFonts w:ascii="Arial" w:hAnsi="Arial" w:cs="Arial"/>
                <w:sz w:val="18"/>
                <w:szCs w:val="18"/>
              </w:rPr>
            </w:pPr>
          </w:p>
          <w:p w14:paraId="181D0B9C"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D530C08" w14:textId="405CC4D4" w:rsidR="000B1ED2" w:rsidRPr="009872F3" w:rsidRDefault="000B1ED2" w:rsidP="00DB5BE8">
            <w:pPr>
              <w:jc w:val="both"/>
              <w:rPr>
                <w:rFonts w:ascii="Arial" w:hAnsi="Arial" w:cs="Arial"/>
                <w:sz w:val="18"/>
                <w:szCs w:val="18"/>
              </w:rPr>
            </w:pPr>
            <w:r w:rsidRPr="00E7109B">
              <w:rPr>
                <w:rFonts w:ascii="Arial" w:hAnsi="Arial" w:cs="Arial"/>
                <w:sz w:val="18"/>
                <w:szCs w:val="18"/>
                <w:highlight w:val="yellow"/>
              </w:rPr>
              <w:t>Art. 7</w:t>
            </w:r>
            <w:r w:rsidR="00AD0CA8" w:rsidRPr="00E7109B">
              <w:rPr>
                <w:rFonts w:ascii="Arial" w:hAnsi="Arial" w:cs="Arial"/>
                <w:sz w:val="18"/>
                <w:szCs w:val="18"/>
                <w:highlight w:val="yellow"/>
              </w:rPr>
              <w:t>9</w:t>
            </w:r>
            <w:r w:rsidRPr="00E7109B">
              <w:rPr>
                <w:rFonts w:ascii="Arial" w:hAnsi="Arial" w:cs="Arial"/>
                <w:sz w:val="18"/>
                <w:szCs w:val="18"/>
                <w:highlight w:val="yellow"/>
              </w:rPr>
              <w:t xml:space="preserve"> BankG; </w:t>
            </w:r>
            <w:r w:rsidR="00D408E8" w:rsidRPr="00E7109B">
              <w:rPr>
                <w:rFonts w:ascii="Arial" w:hAnsi="Arial" w:cs="Arial"/>
                <w:sz w:val="18"/>
                <w:szCs w:val="18"/>
                <w:highlight w:val="yellow"/>
              </w:rPr>
              <w:t>Art. 23 BankV,</w:t>
            </w:r>
            <w:r w:rsidR="00E7109B" w:rsidRPr="00E7109B">
              <w:rPr>
                <w:rFonts w:ascii="Arial" w:hAnsi="Arial" w:cs="Arial"/>
                <w:sz w:val="18"/>
                <w:szCs w:val="18"/>
                <w:highlight w:val="yellow"/>
              </w:rPr>
              <w:t xml:space="preserve">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00E7109B" w:rsidRPr="00E7109B">
              <w:rPr>
                <w:rFonts w:ascii="Arial" w:hAnsi="Arial" w:cs="Arial"/>
                <w:sz w:val="18"/>
                <w:szCs w:val="18"/>
                <w:highlight w:val="yellow"/>
              </w:rPr>
              <w:t>Art.</w:t>
            </w:r>
            <w:r w:rsidR="00E7109B" w:rsidRPr="00A938AE">
              <w:rPr>
                <w:rFonts w:ascii="Arial" w:hAnsi="Arial" w:cs="Arial"/>
                <w:sz w:val="18"/>
                <w:szCs w:val="18"/>
                <w:highlight w:val="yellow"/>
              </w:rPr>
              <w:t xml:space="preserve"> 1</w:t>
            </w:r>
            <w:r w:rsidR="00E7109B">
              <w:rPr>
                <w:rFonts w:ascii="Arial" w:hAnsi="Arial" w:cs="Arial"/>
                <w:sz w:val="18"/>
                <w:szCs w:val="18"/>
                <w:highlight w:val="yellow"/>
              </w:rPr>
              <w:t>3 f WPDG</w:t>
            </w:r>
            <w:r w:rsidR="00A938AE">
              <w:rPr>
                <w:rFonts w:ascii="Arial" w:hAnsi="Arial" w:cs="Arial"/>
                <w:sz w:val="18"/>
                <w:szCs w:val="18"/>
                <w:highlight w:val="yellow"/>
              </w:rPr>
              <w:t>,</w:t>
            </w:r>
            <w:r w:rsidR="00D408E8" w:rsidRPr="00E7109B">
              <w:rPr>
                <w:rFonts w:ascii="Arial" w:hAnsi="Arial" w:cs="Arial"/>
                <w:sz w:val="18"/>
                <w:szCs w:val="18"/>
                <w:highlight w:val="yellow"/>
              </w:rPr>
              <w:t xml:space="preserve"> </w:t>
            </w:r>
            <w:r w:rsidRPr="00CB3EE6">
              <w:rPr>
                <w:rFonts w:ascii="Arial" w:hAnsi="Arial" w:cs="Arial"/>
                <w:sz w:val="18"/>
                <w:szCs w:val="18"/>
                <w:highlight w:val="yellow"/>
              </w:rPr>
              <w:t>FMA-Mitteilung 2017/4</w:t>
            </w:r>
            <w:r w:rsidR="009E273B">
              <w:rPr>
                <w:rFonts w:ascii="Arial" w:hAnsi="Arial" w:cs="Arial"/>
                <w:sz w:val="18"/>
                <w:szCs w:val="18"/>
                <w:highlight w:val="yellow"/>
              </w:rPr>
              <w:t>; EBA/GL/2021/05</w:t>
            </w:r>
          </w:p>
        </w:tc>
      </w:tr>
      <w:tr w:rsidR="000B1ED2" w:rsidRPr="009872F3" w14:paraId="76C28814" w14:textId="77777777" w:rsidTr="00DB5BE8">
        <w:trPr>
          <w:trHeight w:val="294"/>
        </w:trPr>
        <w:tc>
          <w:tcPr>
            <w:tcW w:w="9180" w:type="dxa"/>
            <w:gridSpan w:val="4"/>
          </w:tcPr>
          <w:p w14:paraId="5C6A5818" w14:textId="77777777" w:rsidR="000B1ED2" w:rsidRPr="009872F3" w:rsidRDefault="000B1ED2" w:rsidP="00DB5BE8">
            <w:pPr>
              <w:jc w:val="both"/>
              <w:rPr>
                <w:rFonts w:ascii="Arial" w:hAnsi="Arial" w:cs="Arial"/>
                <w:sz w:val="18"/>
                <w:szCs w:val="18"/>
              </w:rPr>
            </w:pPr>
          </w:p>
        </w:tc>
      </w:tr>
      <w:tr w:rsidR="000B1ED2" w:rsidRPr="009872F3" w14:paraId="26897849" w14:textId="77777777" w:rsidTr="00DB5BE8">
        <w:tc>
          <w:tcPr>
            <w:tcW w:w="5798" w:type="dxa"/>
            <w:gridSpan w:val="3"/>
          </w:tcPr>
          <w:p w14:paraId="1FEB4EAB" w14:textId="1205EC08" w:rsidR="000B1ED2" w:rsidRPr="00C1307E" w:rsidRDefault="000B1ED2" w:rsidP="00DF1664">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 xml:space="preserve">perationellen Risiken im Zusammenhang mit der Anlageberatung für Kunden </w:t>
            </w:r>
            <w:r w:rsidRPr="00C1307E">
              <w:rPr>
                <w:rFonts w:ascii="Arial" w:hAnsi="Arial" w:cs="Arial"/>
                <w:sz w:val="18"/>
                <w:szCs w:val="18"/>
              </w:rPr>
              <w:t>angemessen ausgestaltet ist.</w:t>
            </w:r>
          </w:p>
        </w:tc>
        <w:tc>
          <w:tcPr>
            <w:tcW w:w="3382" w:type="dxa"/>
          </w:tcPr>
          <w:p w14:paraId="2135C313"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799E5D11" w14:textId="77777777" w:rsidTr="00DB5BE8">
        <w:tc>
          <w:tcPr>
            <w:tcW w:w="5798" w:type="dxa"/>
            <w:gridSpan w:val="3"/>
          </w:tcPr>
          <w:p w14:paraId="02D84DD5" w14:textId="083CB664"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der Anlageberatung für Kunden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F2E9888"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5F72D41D" w14:textId="77777777" w:rsidTr="00DB5BE8">
        <w:tc>
          <w:tcPr>
            <w:tcW w:w="5798" w:type="dxa"/>
            <w:gridSpan w:val="3"/>
          </w:tcPr>
          <w:p w14:paraId="4B6546D7" w14:textId="1C2DD8BF"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DF1664">
              <w:rPr>
                <w:rFonts w:ascii="Arial" w:hAnsi="Arial" w:cs="Arial"/>
                <w:sz w:val="18"/>
                <w:szCs w:val="18"/>
              </w:rPr>
              <w:t>o</w:t>
            </w:r>
            <w:r>
              <w:rPr>
                <w:rFonts w:ascii="Arial" w:hAnsi="Arial" w:cs="Arial"/>
                <w:sz w:val="18"/>
                <w:szCs w:val="18"/>
              </w:rPr>
              <w:t>perationellen Risiken im Zusammenhang mit der Anlageberatung für Kunden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75B9514"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340510C"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0828D3AA" w14:textId="77777777" w:rsidTr="00DB5BE8">
        <w:tc>
          <w:tcPr>
            <w:tcW w:w="2660" w:type="dxa"/>
          </w:tcPr>
          <w:p w14:paraId="65722481"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6EF5F53"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79E1A336" w14:textId="77777777" w:rsidTr="00DB5BE8">
        <w:tc>
          <w:tcPr>
            <w:tcW w:w="2660" w:type="dxa"/>
          </w:tcPr>
          <w:p w14:paraId="214CD270"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B31D693" w14:textId="77777777" w:rsidR="0050402B" w:rsidRDefault="0050402B" w:rsidP="0050402B">
            <w:pPr>
              <w:jc w:val="both"/>
              <w:rPr>
                <w:rFonts w:ascii="Arial" w:hAnsi="Arial" w:cs="Arial"/>
                <w:i/>
                <w:sz w:val="20"/>
                <w:szCs w:val="20"/>
                <w:highlight w:val="lightGray"/>
              </w:rPr>
            </w:pPr>
          </w:p>
          <w:p w14:paraId="62018E9B"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0C8BBE7"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FDD86D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08A3ADF" w14:textId="1A1C783E"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62015E4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98A4E1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87A8D63" w14:textId="77777777" w:rsidTr="00DB5BE8">
        <w:tc>
          <w:tcPr>
            <w:tcW w:w="2660" w:type="dxa"/>
          </w:tcPr>
          <w:p w14:paraId="603F41EE"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75D13647" w14:textId="77777777" w:rsidR="0074539F" w:rsidRPr="00CE3194" w:rsidRDefault="0074539F" w:rsidP="00DB5BE8">
            <w:pPr>
              <w:jc w:val="both"/>
              <w:rPr>
                <w:rFonts w:ascii="Arial" w:hAnsi="Arial" w:cs="Arial"/>
                <w:i/>
                <w:sz w:val="20"/>
                <w:szCs w:val="20"/>
                <w:highlight w:val="lightGray"/>
              </w:rPr>
            </w:pPr>
          </w:p>
        </w:tc>
        <w:tc>
          <w:tcPr>
            <w:tcW w:w="6520" w:type="dxa"/>
          </w:tcPr>
          <w:p w14:paraId="761C346E" w14:textId="5AAA647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33145CDE" w14:textId="513DADFA"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F3B82B2" w14:textId="4648264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11BC89"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33DFF1A3" w14:textId="77777777" w:rsidTr="00DB5BE8">
        <w:tc>
          <w:tcPr>
            <w:tcW w:w="2660" w:type="dxa"/>
          </w:tcPr>
          <w:p w14:paraId="708F02F4"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9712B60" w14:textId="0FD5D3EF"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4599C88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37AEEE4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CF7468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27B0933"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55A4A44" w14:textId="55DC119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3145D960" w14:textId="77777777" w:rsidR="000B1ED2" w:rsidRDefault="000B1ED2" w:rsidP="00CB3EE6">
      <w:pPr>
        <w:jc w:val="both"/>
        <w:rPr>
          <w:rFonts w:cs="Arial"/>
          <w:szCs w:val="20"/>
        </w:rPr>
      </w:pPr>
    </w:p>
    <w:p w14:paraId="5FB1059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52FC01B" w14:textId="77777777" w:rsidR="00E70DF4" w:rsidRDefault="00E70DF4" w:rsidP="00CB3EE6">
      <w:pPr>
        <w:jc w:val="both"/>
        <w:rPr>
          <w:rFonts w:cs="Arial"/>
          <w:szCs w:val="20"/>
        </w:rPr>
      </w:pPr>
    </w:p>
    <w:p w14:paraId="33E98E45" w14:textId="77777777" w:rsidR="000B1ED2" w:rsidRPr="006730AC" w:rsidRDefault="000B1ED2" w:rsidP="00CB3EE6">
      <w:pPr>
        <w:jc w:val="both"/>
        <w:rPr>
          <w:rFonts w:cs="Arial"/>
          <w:szCs w:val="20"/>
        </w:rPr>
      </w:pPr>
    </w:p>
    <w:p w14:paraId="2203CB54" w14:textId="77777777" w:rsidR="00543DCA" w:rsidRPr="006730AC" w:rsidRDefault="00543DCA" w:rsidP="006F7AB5">
      <w:pPr>
        <w:pStyle w:val="FINMAGliederungEbene3"/>
      </w:pPr>
      <w:bookmarkStart w:id="36" w:name="_Toc216425785"/>
      <w:r>
        <w:t>Operationelle</w:t>
      </w:r>
      <w:r w:rsidR="000B1ED2">
        <w:t xml:space="preserve"> Risiken im Zusammenhang mit</w:t>
      </w:r>
      <w:r>
        <w:t xml:space="preserve"> Vermögensverwaltungsmandaten (GR-18)</w:t>
      </w:r>
      <w:bookmarkEnd w:id="36"/>
    </w:p>
    <w:p w14:paraId="069C1C54"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6A2EE543" w14:textId="77777777" w:rsidTr="00DB5BE8">
        <w:trPr>
          <w:trHeight w:val="563"/>
        </w:trPr>
        <w:tc>
          <w:tcPr>
            <w:tcW w:w="1932" w:type="dxa"/>
          </w:tcPr>
          <w:p w14:paraId="2DF76895"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0773DA19"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282ACE1"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0C9E0EF6" w14:textId="77777777" w:rsidTr="00DB5BE8">
        <w:trPr>
          <w:trHeight w:val="698"/>
        </w:trPr>
        <w:tc>
          <w:tcPr>
            <w:tcW w:w="1932" w:type="dxa"/>
          </w:tcPr>
          <w:p w14:paraId="241E3E05" w14:textId="1B59989E"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373E07E7"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1C20AB3"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C215070"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517C99A"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4BD2B68A" w14:textId="77777777" w:rsidTr="00DB5BE8">
        <w:trPr>
          <w:trHeight w:val="636"/>
        </w:trPr>
        <w:tc>
          <w:tcPr>
            <w:tcW w:w="9180" w:type="dxa"/>
            <w:gridSpan w:val="4"/>
          </w:tcPr>
          <w:p w14:paraId="26B0AA11" w14:textId="77777777" w:rsidR="000B1ED2" w:rsidRDefault="000B1ED2" w:rsidP="00DB5BE8">
            <w:pPr>
              <w:jc w:val="both"/>
              <w:rPr>
                <w:rFonts w:ascii="Arial" w:hAnsi="Arial" w:cs="Arial"/>
                <w:sz w:val="18"/>
                <w:szCs w:val="18"/>
              </w:rPr>
            </w:pPr>
          </w:p>
          <w:p w14:paraId="62791894"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AB0CDC4" w14:textId="41F7E2AA" w:rsidR="000B1ED2" w:rsidRPr="009872F3" w:rsidRDefault="000B1ED2" w:rsidP="00DB5BE8">
            <w:pPr>
              <w:jc w:val="both"/>
              <w:rPr>
                <w:rFonts w:ascii="Arial" w:hAnsi="Arial" w:cs="Arial"/>
                <w:sz w:val="18"/>
                <w:szCs w:val="18"/>
              </w:rPr>
            </w:pPr>
            <w:r w:rsidRPr="00E7109B">
              <w:rPr>
                <w:rFonts w:ascii="Arial" w:hAnsi="Arial" w:cs="Arial"/>
                <w:sz w:val="18"/>
                <w:szCs w:val="18"/>
                <w:highlight w:val="yellow"/>
              </w:rPr>
              <w:t>Art. 7</w:t>
            </w:r>
            <w:r w:rsidR="00AD0CA8" w:rsidRPr="00E7109B">
              <w:rPr>
                <w:rFonts w:ascii="Arial" w:hAnsi="Arial" w:cs="Arial"/>
                <w:sz w:val="18"/>
                <w:szCs w:val="18"/>
                <w:highlight w:val="yellow"/>
              </w:rPr>
              <w:t>9</w:t>
            </w:r>
            <w:r w:rsidRPr="00E7109B">
              <w:rPr>
                <w:rFonts w:ascii="Arial" w:hAnsi="Arial" w:cs="Arial"/>
                <w:sz w:val="18"/>
                <w:szCs w:val="18"/>
                <w:highlight w:val="yellow"/>
              </w:rPr>
              <w:t xml:space="preserve"> BankG; </w:t>
            </w:r>
            <w:r w:rsidR="00D408E8" w:rsidRPr="00E7109B">
              <w:rPr>
                <w:rFonts w:ascii="Arial" w:hAnsi="Arial" w:cs="Arial"/>
                <w:sz w:val="18"/>
                <w:szCs w:val="18"/>
                <w:highlight w:val="yellow"/>
              </w:rPr>
              <w:t>Art. 23 BankV</w:t>
            </w:r>
            <w:r w:rsidR="00E7109B" w:rsidRPr="00E7109B">
              <w:rPr>
                <w:rFonts w:ascii="Arial" w:hAnsi="Arial" w:cs="Arial"/>
                <w:sz w:val="18"/>
                <w:szCs w:val="18"/>
                <w:highlight w:val="yellow"/>
              </w:rPr>
              <w:t xml:space="preserve">,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00E7109B" w:rsidRPr="00E7109B">
              <w:rPr>
                <w:rFonts w:ascii="Arial" w:hAnsi="Arial" w:cs="Arial"/>
                <w:sz w:val="18"/>
                <w:szCs w:val="18"/>
                <w:highlight w:val="yellow"/>
              </w:rPr>
              <w:t>Art.</w:t>
            </w:r>
            <w:r w:rsidR="00E7109B" w:rsidRPr="00A938AE">
              <w:rPr>
                <w:rFonts w:ascii="Arial" w:hAnsi="Arial" w:cs="Arial"/>
                <w:sz w:val="18"/>
                <w:szCs w:val="18"/>
                <w:highlight w:val="yellow"/>
              </w:rPr>
              <w:t xml:space="preserve"> 1</w:t>
            </w:r>
            <w:r w:rsidR="00E7109B">
              <w:rPr>
                <w:rFonts w:ascii="Arial" w:hAnsi="Arial" w:cs="Arial"/>
                <w:sz w:val="18"/>
                <w:szCs w:val="18"/>
                <w:highlight w:val="yellow"/>
              </w:rPr>
              <w:t>3 f WPDG</w:t>
            </w:r>
            <w:r w:rsidR="00A938AE">
              <w:rPr>
                <w:rFonts w:ascii="Arial" w:hAnsi="Arial" w:cs="Arial"/>
                <w:sz w:val="18"/>
                <w:szCs w:val="18"/>
                <w:highlight w:val="yellow"/>
              </w:rPr>
              <w:t>,</w:t>
            </w:r>
            <w:r w:rsidR="00D408E8" w:rsidRPr="00E7109B">
              <w:rPr>
                <w:rFonts w:ascii="Arial" w:hAnsi="Arial" w:cs="Arial"/>
                <w:sz w:val="18"/>
                <w:szCs w:val="18"/>
                <w:highlight w:val="yellow"/>
              </w:rPr>
              <w:t xml:space="preserve"> </w:t>
            </w:r>
            <w:r w:rsidRPr="00276C60">
              <w:rPr>
                <w:rFonts w:ascii="Arial" w:hAnsi="Arial" w:cs="Arial"/>
                <w:sz w:val="18"/>
                <w:szCs w:val="18"/>
                <w:highlight w:val="yellow"/>
              </w:rPr>
              <w:t>FMA-Mitteilung 2017/4</w:t>
            </w:r>
            <w:r w:rsidR="009E273B">
              <w:rPr>
                <w:rFonts w:ascii="Arial" w:hAnsi="Arial" w:cs="Arial"/>
                <w:sz w:val="18"/>
                <w:szCs w:val="18"/>
                <w:highlight w:val="yellow"/>
              </w:rPr>
              <w:t>; EBA/GL/2021/05</w:t>
            </w:r>
          </w:p>
        </w:tc>
      </w:tr>
      <w:tr w:rsidR="000B1ED2" w:rsidRPr="009872F3" w14:paraId="516A47F3" w14:textId="77777777" w:rsidTr="00DB5BE8">
        <w:trPr>
          <w:trHeight w:val="294"/>
        </w:trPr>
        <w:tc>
          <w:tcPr>
            <w:tcW w:w="9180" w:type="dxa"/>
            <w:gridSpan w:val="4"/>
          </w:tcPr>
          <w:p w14:paraId="6DB199E8" w14:textId="77777777" w:rsidR="000B1ED2" w:rsidRPr="009872F3" w:rsidRDefault="000B1ED2" w:rsidP="00DB5BE8">
            <w:pPr>
              <w:jc w:val="both"/>
              <w:rPr>
                <w:rFonts w:ascii="Arial" w:hAnsi="Arial" w:cs="Arial"/>
                <w:sz w:val="18"/>
                <w:szCs w:val="18"/>
              </w:rPr>
            </w:pPr>
          </w:p>
        </w:tc>
      </w:tr>
      <w:tr w:rsidR="000B1ED2" w:rsidRPr="009872F3" w14:paraId="7EE2F576" w14:textId="77777777" w:rsidTr="00DB5BE8">
        <w:tc>
          <w:tcPr>
            <w:tcW w:w="5798" w:type="dxa"/>
            <w:gridSpan w:val="3"/>
          </w:tcPr>
          <w:p w14:paraId="75571A0E" w14:textId="25E0D6A1"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DF1664">
              <w:rPr>
                <w:rFonts w:ascii="Arial" w:hAnsi="Arial" w:cs="Arial"/>
                <w:sz w:val="18"/>
                <w:szCs w:val="18"/>
              </w:rPr>
              <w:t>o</w:t>
            </w:r>
            <w:r>
              <w:rPr>
                <w:rFonts w:ascii="Arial" w:hAnsi="Arial" w:cs="Arial"/>
                <w:sz w:val="18"/>
                <w:szCs w:val="18"/>
              </w:rPr>
              <w:t xml:space="preserve">perationellen Risiken im Zusammenhang mit Vermögensverwaltungsmandaten </w:t>
            </w:r>
            <w:r w:rsidRPr="00C1307E">
              <w:rPr>
                <w:rFonts w:ascii="Arial" w:hAnsi="Arial" w:cs="Arial"/>
                <w:sz w:val="18"/>
                <w:szCs w:val="18"/>
              </w:rPr>
              <w:t>angemessen ausgestaltet ist.</w:t>
            </w:r>
          </w:p>
        </w:tc>
        <w:tc>
          <w:tcPr>
            <w:tcW w:w="3382" w:type="dxa"/>
          </w:tcPr>
          <w:p w14:paraId="298F70B1"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1CCAE3DD" w14:textId="77777777" w:rsidTr="00DB5BE8">
        <w:tc>
          <w:tcPr>
            <w:tcW w:w="5798" w:type="dxa"/>
            <w:gridSpan w:val="3"/>
          </w:tcPr>
          <w:p w14:paraId="63EFB4CA" w14:textId="3D969DA7"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DF1664">
              <w:rPr>
                <w:rFonts w:ascii="Arial" w:hAnsi="Arial" w:cs="Arial"/>
                <w:sz w:val="18"/>
                <w:szCs w:val="18"/>
              </w:rPr>
              <w:t>o</w:t>
            </w:r>
            <w:r>
              <w:rPr>
                <w:rFonts w:ascii="Arial" w:hAnsi="Arial" w:cs="Arial"/>
                <w:sz w:val="18"/>
                <w:szCs w:val="18"/>
              </w:rPr>
              <w:t>perationellen Risiken im Zusammenhang mit Vermögensverwaltungsmandaten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DF78C36"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60C4274B" w14:textId="77777777" w:rsidTr="00DB5BE8">
        <w:tc>
          <w:tcPr>
            <w:tcW w:w="5798" w:type="dxa"/>
            <w:gridSpan w:val="3"/>
          </w:tcPr>
          <w:p w14:paraId="2E944CA9" w14:textId="562AEE3A"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DF1664">
              <w:rPr>
                <w:rFonts w:ascii="Arial" w:hAnsi="Arial" w:cs="Arial"/>
                <w:sz w:val="18"/>
                <w:szCs w:val="18"/>
              </w:rPr>
              <w:t>o</w:t>
            </w:r>
            <w:r>
              <w:rPr>
                <w:rFonts w:ascii="Arial" w:hAnsi="Arial" w:cs="Arial"/>
                <w:sz w:val="18"/>
                <w:szCs w:val="18"/>
              </w:rPr>
              <w:t>perationellen Risiken im Zusammenhang mit Vermögensverwaltungsmandaten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A4DABCA"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02449F3"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64F29B78" w14:textId="77777777" w:rsidTr="00DB5BE8">
        <w:tc>
          <w:tcPr>
            <w:tcW w:w="2660" w:type="dxa"/>
          </w:tcPr>
          <w:p w14:paraId="6B35EA15"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E621CAC"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4F019B3C" w14:textId="77777777" w:rsidTr="00DB5BE8">
        <w:tc>
          <w:tcPr>
            <w:tcW w:w="2660" w:type="dxa"/>
          </w:tcPr>
          <w:p w14:paraId="4A433225"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EE79055" w14:textId="77777777" w:rsidR="0050402B" w:rsidRDefault="0050402B" w:rsidP="0050402B">
            <w:pPr>
              <w:jc w:val="both"/>
              <w:rPr>
                <w:rFonts w:ascii="Arial" w:hAnsi="Arial" w:cs="Arial"/>
                <w:i/>
                <w:sz w:val="20"/>
                <w:szCs w:val="20"/>
                <w:highlight w:val="lightGray"/>
              </w:rPr>
            </w:pPr>
          </w:p>
          <w:p w14:paraId="6498CD04"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4FDFEE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2F27AAD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FD207A6" w14:textId="58F1AFE3"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77C235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065087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7084A91C" w14:textId="77777777" w:rsidTr="00DB5BE8">
        <w:tc>
          <w:tcPr>
            <w:tcW w:w="2660" w:type="dxa"/>
          </w:tcPr>
          <w:p w14:paraId="0BAD31E1"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E5F397E" w14:textId="77777777" w:rsidR="0074539F" w:rsidRPr="00CE3194" w:rsidRDefault="0074539F" w:rsidP="00DB5BE8">
            <w:pPr>
              <w:jc w:val="both"/>
              <w:rPr>
                <w:rFonts w:ascii="Arial" w:hAnsi="Arial" w:cs="Arial"/>
                <w:i/>
                <w:sz w:val="20"/>
                <w:szCs w:val="20"/>
                <w:highlight w:val="lightGray"/>
              </w:rPr>
            </w:pPr>
          </w:p>
        </w:tc>
        <w:tc>
          <w:tcPr>
            <w:tcW w:w="6520" w:type="dxa"/>
          </w:tcPr>
          <w:p w14:paraId="762D4573" w14:textId="2E8D80F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1CE5333" w14:textId="4AF56A7C"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235AA046" w14:textId="4402FAC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6C3619D"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4CB8933F" w14:textId="77777777" w:rsidTr="00DB5BE8">
        <w:tc>
          <w:tcPr>
            <w:tcW w:w="2660" w:type="dxa"/>
          </w:tcPr>
          <w:p w14:paraId="2C5898A6"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DE4ED59" w14:textId="66E6070F"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32724F6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65C83E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63DD159"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2C8160E2"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C950A4B" w14:textId="059A6399"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lastRenderedPageBreak/>
              <w:t>Die limitierten Risiken fliessen in den ICAAP</w:t>
            </w:r>
            <w:r>
              <w:rPr>
                <w:rFonts w:cs="Arial"/>
                <w:i/>
                <w:szCs w:val="20"/>
                <w:highlight w:val="lightGray"/>
              </w:rPr>
              <w:t>/ILAAP</w:t>
            </w:r>
            <w:r w:rsidRPr="00055C14">
              <w:rPr>
                <w:rFonts w:cs="Arial"/>
                <w:i/>
                <w:szCs w:val="20"/>
                <w:highlight w:val="lightGray"/>
              </w:rPr>
              <w:t xml:space="preserve"> und somit in die </w:t>
            </w:r>
            <w:r w:rsidRPr="00A938AE">
              <w:rPr>
                <w:rFonts w:cs="Arial"/>
                <w:i/>
                <w:szCs w:val="20"/>
                <w:highlight w:val="lightGray"/>
              </w:rPr>
              <w:t xml:space="preserve">Gesamtrisikoaggregation 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5FF5B3F9" w14:textId="77777777" w:rsidR="000B1ED2" w:rsidRDefault="000B1ED2" w:rsidP="00CB3EE6">
      <w:pPr>
        <w:jc w:val="both"/>
        <w:rPr>
          <w:rFonts w:cs="Arial"/>
          <w:szCs w:val="20"/>
        </w:rPr>
      </w:pPr>
    </w:p>
    <w:p w14:paraId="70063A5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9F9D2A2" w14:textId="77777777" w:rsidR="000B1ED2" w:rsidRDefault="000B1ED2" w:rsidP="00CB3EE6">
      <w:pPr>
        <w:jc w:val="both"/>
        <w:rPr>
          <w:rFonts w:cs="Arial"/>
          <w:szCs w:val="20"/>
        </w:rPr>
      </w:pPr>
    </w:p>
    <w:p w14:paraId="40126A64" w14:textId="77777777" w:rsidR="00E70DF4" w:rsidRPr="006730AC" w:rsidRDefault="00E70DF4" w:rsidP="00CB3EE6">
      <w:pPr>
        <w:jc w:val="both"/>
        <w:rPr>
          <w:rFonts w:cs="Arial"/>
          <w:szCs w:val="20"/>
        </w:rPr>
      </w:pPr>
    </w:p>
    <w:p w14:paraId="1D885A7E" w14:textId="695F17E9" w:rsidR="006067FE" w:rsidRPr="006730AC" w:rsidRDefault="006067FE" w:rsidP="006F7AB5">
      <w:pPr>
        <w:pStyle w:val="FINMAGliederungEbene3"/>
      </w:pPr>
      <w:bookmarkStart w:id="37" w:name="_Toc216425786"/>
      <w:r>
        <w:t>Operationelle Risiken im Zusammenhang mit externen Vermögensverwaltern</w:t>
      </w:r>
      <w:r w:rsidR="00543DCA">
        <w:t xml:space="preserve"> (GR-19)</w:t>
      </w:r>
      <w:bookmarkEnd w:id="37"/>
    </w:p>
    <w:p w14:paraId="13045749"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71F142E9" w14:textId="77777777" w:rsidTr="00DB5BE8">
        <w:trPr>
          <w:trHeight w:val="563"/>
        </w:trPr>
        <w:tc>
          <w:tcPr>
            <w:tcW w:w="1932" w:type="dxa"/>
          </w:tcPr>
          <w:p w14:paraId="2895583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046742BB"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877AB3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0BF2AB68" w14:textId="77777777" w:rsidTr="00DB5BE8">
        <w:trPr>
          <w:trHeight w:val="698"/>
        </w:trPr>
        <w:tc>
          <w:tcPr>
            <w:tcW w:w="1932" w:type="dxa"/>
          </w:tcPr>
          <w:p w14:paraId="4FA0D93B" w14:textId="5740AC5B"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8BA9E8C"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A615333"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2C1AC68"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B000CAA"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70E2A8C7" w14:textId="77777777" w:rsidTr="00DB5BE8">
        <w:trPr>
          <w:trHeight w:val="636"/>
        </w:trPr>
        <w:tc>
          <w:tcPr>
            <w:tcW w:w="9180" w:type="dxa"/>
            <w:gridSpan w:val="4"/>
          </w:tcPr>
          <w:p w14:paraId="77A6597E" w14:textId="77777777" w:rsidR="000B1ED2" w:rsidRDefault="000B1ED2" w:rsidP="00DB5BE8">
            <w:pPr>
              <w:jc w:val="both"/>
              <w:rPr>
                <w:rFonts w:ascii="Arial" w:hAnsi="Arial" w:cs="Arial"/>
                <w:sz w:val="18"/>
                <w:szCs w:val="18"/>
              </w:rPr>
            </w:pPr>
          </w:p>
          <w:p w14:paraId="43C43720"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983A64F" w14:textId="5DBF71F1" w:rsidR="000B1ED2" w:rsidRPr="009E4FE7" w:rsidRDefault="000B1ED2" w:rsidP="000B1ED2">
            <w:pPr>
              <w:jc w:val="both"/>
              <w:rPr>
                <w:rFonts w:ascii="Arial" w:hAnsi="Arial" w:cs="Arial"/>
                <w:sz w:val="18"/>
                <w:szCs w:val="18"/>
                <w:highlight w:val="yellow"/>
              </w:rPr>
            </w:pPr>
            <w:r w:rsidRPr="009E4FE7">
              <w:rPr>
                <w:rFonts w:ascii="Arial" w:hAnsi="Arial" w:cs="Arial"/>
                <w:sz w:val="18"/>
                <w:szCs w:val="18"/>
                <w:highlight w:val="yellow"/>
              </w:rPr>
              <w:t>Art. 7</w:t>
            </w:r>
            <w:r w:rsidR="00A32C3D" w:rsidRPr="009E4FE7">
              <w:rPr>
                <w:rFonts w:ascii="Arial" w:hAnsi="Arial" w:cs="Arial"/>
                <w:sz w:val="18"/>
                <w:szCs w:val="18"/>
                <w:highlight w:val="yellow"/>
              </w:rPr>
              <w:t>9</w:t>
            </w:r>
            <w:r w:rsidRPr="009E4FE7">
              <w:rPr>
                <w:rFonts w:ascii="Arial" w:hAnsi="Arial" w:cs="Arial"/>
                <w:sz w:val="18"/>
                <w:szCs w:val="18"/>
                <w:highlight w:val="yellow"/>
              </w:rPr>
              <w:t xml:space="preserve"> BankG</w:t>
            </w:r>
            <w:r w:rsidR="00A938AE" w:rsidRPr="009E4FE7">
              <w:rPr>
                <w:rFonts w:ascii="Arial" w:hAnsi="Arial" w:cs="Arial"/>
                <w:sz w:val="18"/>
                <w:szCs w:val="18"/>
                <w:highlight w:val="yellow"/>
              </w:rPr>
              <w:t>,</w:t>
            </w:r>
            <w:r w:rsidR="00D408E8" w:rsidRPr="009E4FE7">
              <w:rPr>
                <w:rFonts w:ascii="Arial" w:hAnsi="Arial" w:cs="Arial"/>
                <w:sz w:val="18"/>
                <w:szCs w:val="18"/>
                <w:highlight w:val="yellow"/>
              </w:rPr>
              <w:t xml:space="preserve"> Art. 23 BankV</w:t>
            </w:r>
            <w:r w:rsidR="00752F45" w:rsidRPr="009E4FE7">
              <w:rPr>
                <w:rFonts w:ascii="Arial" w:hAnsi="Arial" w:cs="Arial"/>
                <w:sz w:val="18"/>
                <w:szCs w:val="18"/>
                <w:highlight w:val="yellow"/>
              </w:rPr>
              <w:t>, Art. 16 BankV</w:t>
            </w:r>
            <w:r w:rsidR="0021306E" w:rsidRPr="009E4FE7">
              <w:rPr>
                <w:rFonts w:ascii="Arial" w:hAnsi="Arial" w:cs="Arial"/>
                <w:sz w:val="18"/>
                <w:szCs w:val="18"/>
                <w:highlight w:val="yellow"/>
              </w:rPr>
              <w:t xml:space="preserve"> Art. 10-11 BankV,</w:t>
            </w:r>
          </w:p>
          <w:p w14:paraId="2A8FFCD1" w14:textId="2AD260AE" w:rsidR="000B1ED2" w:rsidRPr="009872F3" w:rsidRDefault="000B1ED2" w:rsidP="000B1ED2">
            <w:pPr>
              <w:jc w:val="both"/>
              <w:rPr>
                <w:rFonts w:ascii="Arial" w:hAnsi="Arial" w:cs="Arial"/>
                <w:sz w:val="18"/>
                <w:szCs w:val="18"/>
              </w:rPr>
            </w:pP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0B1ED2" w:rsidRPr="009872F3" w14:paraId="21BBCFC9" w14:textId="77777777" w:rsidTr="00DB5BE8">
        <w:trPr>
          <w:trHeight w:val="294"/>
        </w:trPr>
        <w:tc>
          <w:tcPr>
            <w:tcW w:w="9180" w:type="dxa"/>
            <w:gridSpan w:val="4"/>
          </w:tcPr>
          <w:p w14:paraId="4271C5BE" w14:textId="77777777" w:rsidR="000B1ED2" w:rsidRPr="009872F3" w:rsidRDefault="000B1ED2" w:rsidP="00DB5BE8">
            <w:pPr>
              <w:jc w:val="both"/>
              <w:rPr>
                <w:rFonts w:ascii="Arial" w:hAnsi="Arial" w:cs="Arial"/>
                <w:sz w:val="18"/>
                <w:szCs w:val="18"/>
              </w:rPr>
            </w:pPr>
          </w:p>
        </w:tc>
      </w:tr>
      <w:tr w:rsidR="000B1ED2" w:rsidRPr="009872F3" w14:paraId="00206094" w14:textId="77777777" w:rsidTr="00DB5BE8">
        <w:tc>
          <w:tcPr>
            <w:tcW w:w="5798" w:type="dxa"/>
            <w:gridSpan w:val="3"/>
          </w:tcPr>
          <w:p w14:paraId="3D1F099E" w14:textId="30181177"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E94756">
              <w:rPr>
                <w:rFonts w:ascii="Arial" w:hAnsi="Arial" w:cs="Arial"/>
                <w:sz w:val="18"/>
                <w:szCs w:val="18"/>
              </w:rPr>
              <w:t>o</w:t>
            </w:r>
            <w:r>
              <w:rPr>
                <w:rFonts w:ascii="Arial" w:hAnsi="Arial" w:cs="Arial"/>
                <w:sz w:val="18"/>
                <w:szCs w:val="18"/>
              </w:rPr>
              <w:t xml:space="preserve">perationellen Risiken im Zusammenhang mit externen Vermögensverwaltern </w:t>
            </w:r>
            <w:r w:rsidRPr="00C1307E">
              <w:rPr>
                <w:rFonts w:ascii="Arial" w:hAnsi="Arial" w:cs="Arial"/>
                <w:sz w:val="18"/>
                <w:szCs w:val="18"/>
              </w:rPr>
              <w:t>angemessen ausgestaltet ist.</w:t>
            </w:r>
          </w:p>
        </w:tc>
        <w:tc>
          <w:tcPr>
            <w:tcW w:w="3382" w:type="dxa"/>
          </w:tcPr>
          <w:p w14:paraId="6AC0C3B1"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4467BDD2" w14:textId="77777777" w:rsidTr="00DB5BE8">
        <w:tc>
          <w:tcPr>
            <w:tcW w:w="5798" w:type="dxa"/>
            <w:gridSpan w:val="3"/>
          </w:tcPr>
          <w:p w14:paraId="7525CA3B" w14:textId="4143C39D"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E94756">
              <w:rPr>
                <w:rFonts w:ascii="Arial" w:hAnsi="Arial" w:cs="Arial"/>
                <w:sz w:val="18"/>
                <w:szCs w:val="18"/>
              </w:rPr>
              <w:t>o</w:t>
            </w:r>
            <w:r>
              <w:rPr>
                <w:rFonts w:ascii="Arial" w:hAnsi="Arial" w:cs="Arial"/>
                <w:sz w:val="18"/>
                <w:szCs w:val="18"/>
              </w:rPr>
              <w:t xml:space="preserve">perationellen Risiken im Zusammenhang mit externen Vermögensverwaltern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5CC29AD"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0A88E71C" w14:textId="77777777" w:rsidTr="00DB5BE8">
        <w:tc>
          <w:tcPr>
            <w:tcW w:w="5798" w:type="dxa"/>
            <w:gridSpan w:val="3"/>
          </w:tcPr>
          <w:p w14:paraId="5AE9F150" w14:textId="6FF762F9" w:rsidR="000B1ED2" w:rsidRPr="00C1307E" w:rsidRDefault="000B1ED2" w:rsidP="00E94756">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E94756">
              <w:rPr>
                <w:rFonts w:ascii="Arial" w:hAnsi="Arial" w:cs="Arial"/>
                <w:sz w:val="18"/>
                <w:szCs w:val="18"/>
              </w:rPr>
              <w:t xml:space="preserve">operationellen </w:t>
            </w:r>
            <w:r>
              <w:rPr>
                <w:rFonts w:ascii="Arial" w:hAnsi="Arial" w:cs="Arial"/>
                <w:sz w:val="18"/>
                <w:szCs w:val="18"/>
              </w:rPr>
              <w:t xml:space="preserve">Risiken im Zusammenhang mit externen Vermögensverwaltern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BDB639A"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116E0AF"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713E0A3B" w14:textId="77777777" w:rsidTr="00DB5BE8">
        <w:tc>
          <w:tcPr>
            <w:tcW w:w="2660" w:type="dxa"/>
          </w:tcPr>
          <w:p w14:paraId="25B6664D"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17F71CF"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5C98B619" w14:textId="77777777" w:rsidTr="00DB5BE8">
        <w:tc>
          <w:tcPr>
            <w:tcW w:w="2660" w:type="dxa"/>
          </w:tcPr>
          <w:p w14:paraId="741B792F"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D04F4BC" w14:textId="77777777" w:rsidR="0050402B" w:rsidRDefault="0050402B" w:rsidP="0050402B">
            <w:pPr>
              <w:jc w:val="both"/>
              <w:rPr>
                <w:rFonts w:ascii="Arial" w:hAnsi="Arial" w:cs="Arial"/>
                <w:i/>
                <w:sz w:val="20"/>
                <w:szCs w:val="20"/>
                <w:highlight w:val="lightGray"/>
              </w:rPr>
            </w:pPr>
          </w:p>
          <w:p w14:paraId="222DC975"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1965C5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060DFA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F70DB0A" w14:textId="415B7511"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78FF283"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576A60"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7C79D44" w14:textId="77777777" w:rsidTr="00DB5BE8">
        <w:tc>
          <w:tcPr>
            <w:tcW w:w="2660" w:type="dxa"/>
          </w:tcPr>
          <w:p w14:paraId="698EB30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276D422" w14:textId="77777777" w:rsidR="0074539F" w:rsidRPr="00CE3194" w:rsidRDefault="0074539F" w:rsidP="00DB5BE8">
            <w:pPr>
              <w:jc w:val="both"/>
              <w:rPr>
                <w:rFonts w:ascii="Arial" w:hAnsi="Arial" w:cs="Arial"/>
                <w:i/>
                <w:sz w:val="20"/>
                <w:szCs w:val="20"/>
                <w:highlight w:val="lightGray"/>
              </w:rPr>
            </w:pPr>
          </w:p>
        </w:tc>
        <w:tc>
          <w:tcPr>
            <w:tcW w:w="6520" w:type="dxa"/>
          </w:tcPr>
          <w:p w14:paraId="43B4E5DB" w14:textId="63D3B79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DE2E3AB" w14:textId="6CA6DFA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444DA2E" w14:textId="58DFA2C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073065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den internen Wissenstransfer (Berichterstattung) angemessen sicher</w:t>
            </w:r>
          </w:p>
        </w:tc>
      </w:tr>
      <w:tr w:rsidR="000B1ED2" w14:paraId="05500C5F" w14:textId="77777777" w:rsidTr="00DB5BE8">
        <w:tc>
          <w:tcPr>
            <w:tcW w:w="2660" w:type="dxa"/>
          </w:tcPr>
          <w:p w14:paraId="0FE8E2D8"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7453213A" w14:textId="05CB28A4"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342EA715"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CCC9197"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FA3A34"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B51B710"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7097A98A" w14:textId="4C382262"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w:t>
            </w:r>
            <w:r w:rsidRPr="00A938AE">
              <w:rPr>
                <w:rFonts w:cs="Arial"/>
                <w:i/>
                <w:szCs w:val="20"/>
                <w:highlight w:val="lightGray"/>
              </w:rPr>
              <w:t xml:space="preserve">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6AF74817" w14:textId="77777777" w:rsidR="000B1ED2" w:rsidRDefault="000B1ED2" w:rsidP="00CB3EE6">
      <w:pPr>
        <w:jc w:val="both"/>
        <w:rPr>
          <w:rFonts w:cs="Arial"/>
          <w:szCs w:val="20"/>
        </w:rPr>
      </w:pPr>
    </w:p>
    <w:p w14:paraId="2B95814F"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18E7D5B" w14:textId="77777777" w:rsidR="00E70DF4" w:rsidRDefault="00E70DF4" w:rsidP="00CB3EE6">
      <w:pPr>
        <w:jc w:val="both"/>
        <w:rPr>
          <w:rFonts w:cs="Arial"/>
          <w:szCs w:val="20"/>
        </w:rPr>
      </w:pPr>
    </w:p>
    <w:p w14:paraId="726BD4BC" w14:textId="77777777" w:rsidR="000B1ED2" w:rsidRPr="006730AC" w:rsidRDefault="000B1ED2" w:rsidP="00CB3EE6">
      <w:pPr>
        <w:jc w:val="both"/>
        <w:rPr>
          <w:rFonts w:cs="Arial"/>
          <w:szCs w:val="20"/>
        </w:rPr>
      </w:pPr>
    </w:p>
    <w:p w14:paraId="2DCD37D8" w14:textId="77777777" w:rsidR="006067FE" w:rsidRPr="006730AC" w:rsidRDefault="006067FE" w:rsidP="006F7AB5">
      <w:pPr>
        <w:pStyle w:val="FINMAGliederungEbene3"/>
      </w:pPr>
      <w:bookmarkStart w:id="38" w:name="_Toc216425787"/>
      <w:r>
        <w:t xml:space="preserve">Operationelle Risiken im Zusammenhang mit </w:t>
      </w:r>
      <w:r w:rsidR="000B1ED2">
        <w:t>Treuhandgeschäfte</w:t>
      </w:r>
      <w:r w:rsidR="00E94756">
        <w:t>n</w:t>
      </w:r>
      <w:r>
        <w:t xml:space="preserve"> für Kunden</w:t>
      </w:r>
      <w:r w:rsidR="00543DCA">
        <w:t xml:space="preserve"> (GR-20)</w:t>
      </w:r>
      <w:bookmarkEnd w:id="38"/>
    </w:p>
    <w:p w14:paraId="34E42393" w14:textId="77777777" w:rsidR="000B1ED2" w:rsidRDefault="000B1ED2"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0B1ED2" w:rsidRPr="009872F3" w14:paraId="28B64FB5" w14:textId="77777777" w:rsidTr="00DB5BE8">
        <w:trPr>
          <w:trHeight w:val="563"/>
        </w:trPr>
        <w:tc>
          <w:tcPr>
            <w:tcW w:w="1932" w:type="dxa"/>
          </w:tcPr>
          <w:p w14:paraId="2F358A88"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4104BDD"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3B298F"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B1ED2" w:rsidRPr="009872F3" w14:paraId="3B1F92DB" w14:textId="77777777" w:rsidTr="00DB5BE8">
        <w:trPr>
          <w:trHeight w:val="698"/>
        </w:trPr>
        <w:tc>
          <w:tcPr>
            <w:tcW w:w="1932" w:type="dxa"/>
          </w:tcPr>
          <w:p w14:paraId="751C96DC" w14:textId="6720F96C"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4D47A65" w14:textId="77777777" w:rsidR="000B1ED2" w:rsidRPr="006749F0" w:rsidRDefault="000B1ED2"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66853ED" w14:textId="77777777" w:rsidR="000B1ED2" w:rsidRPr="009872F3" w:rsidRDefault="000B1ED2"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687FC5" w14:textId="77777777" w:rsidR="000B1ED2" w:rsidRDefault="000B1ED2"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2FA65C8" w14:textId="77777777" w:rsidR="000B1ED2" w:rsidRPr="006749F0" w:rsidRDefault="000B1ED2" w:rsidP="00DB5BE8">
            <w:pPr>
              <w:jc w:val="both"/>
              <w:rPr>
                <w:rFonts w:ascii="Arial" w:hAnsi="Arial" w:cs="Arial"/>
                <w:i/>
                <w:sz w:val="18"/>
                <w:szCs w:val="18"/>
              </w:rPr>
            </w:pPr>
            <w:r w:rsidRPr="006749F0">
              <w:rPr>
                <w:rFonts w:ascii="Arial" w:hAnsi="Arial" w:cs="Arial"/>
                <w:i/>
                <w:sz w:val="18"/>
                <w:szCs w:val="18"/>
                <w:highlight w:val="yellow"/>
              </w:rPr>
              <w:t>Jahr</w:t>
            </w:r>
          </w:p>
        </w:tc>
      </w:tr>
      <w:tr w:rsidR="000B1ED2" w:rsidRPr="009872F3" w14:paraId="79233919" w14:textId="77777777" w:rsidTr="00DB5BE8">
        <w:trPr>
          <w:trHeight w:val="636"/>
        </w:trPr>
        <w:tc>
          <w:tcPr>
            <w:tcW w:w="9180" w:type="dxa"/>
            <w:gridSpan w:val="4"/>
          </w:tcPr>
          <w:p w14:paraId="4551B64C" w14:textId="77777777" w:rsidR="000B1ED2" w:rsidRDefault="000B1ED2" w:rsidP="00DB5BE8">
            <w:pPr>
              <w:jc w:val="both"/>
              <w:rPr>
                <w:rFonts w:ascii="Arial" w:hAnsi="Arial" w:cs="Arial"/>
                <w:sz w:val="18"/>
                <w:szCs w:val="18"/>
              </w:rPr>
            </w:pPr>
          </w:p>
          <w:p w14:paraId="6ACB5A2C" w14:textId="77777777" w:rsidR="000B1ED2" w:rsidRDefault="000B1ED2"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164F3EA7" w14:textId="2FF7CADD" w:rsidR="000B1ED2" w:rsidRPr="009872F3" w:rsidRDefault="000B1ED2" w:rsidP="00DB5BE8">
            <w:pPr>
              <w:jc w:val="both"/>
              <w:rPr>
                <w:rFonts w:ascii="Arial" w:hAnsi="Arial" w:cs="Arial"/>
                <w:sz w:val="18"/>
                <w:szCs w:val="18"/>
              </w:rPr>
            </w:pPr>
            <w:r w:rsidRPr="00CB3EE6">
              <w:rPr>
                <w:rFonts w:ascii="Arial" w:hAnsi="Arial" w:cs="Arial"/>
                <w:sz w:val="18"/>
                <w:szCs w:val="18"/>
                <w:highlight w:val="yellow"/>
              </w:rPr>
              <w:t>Art. 7</w:t>
            </w:r>
            <w:r w:rsidR="00A32C3D">
              <w:rPr>
                <w:rFonts w:ascii="Arial" w:hAnsi="Arial" w:cs="Arial"/>
                <w:sz w:val="18"/>
                <w:szCs w:val="18"/>
                <w:highlight w:val="yellow"/>
              </w:rPr>
              <w:t>9</w:t>
            </w:r>
            <w:r w:rsidRPr="00CB3EE6">
              <w:rPr>
                <w:rFonts w:ascii="Arial" w:hAnsi="Arial" w:cs="Arial"/>
                <w:sz w:val="18"/>
                <w:szCs w:val="18"/>
                <w:highlight w:val="yellow"/>
              </w:rPr>
              <w:t xml:space="preserve"> BankG; Art. 2</w:t>
            </w:r>
            <w:r w:rsidR="00D408E8">
              <w:rPr>
                <w:rFonts w:ascii="Arial" w:hAnsi="Arial" w:cs="Arial"/>
                <w:sz w:val="18"/>
                <w:szCs w:val="18"/>
                <w:highlight w:val="yellow"/>
              </w:rPr>
              <w:t>3</w:t>
            </w:r>
            <w:r w:rsidRPr="00CB3EE6">
              <w:rPr>
                <w:rFonts w:ascii="Arial" w:hAnsi="Arial" w:cs="Arial"/>
                <w:sz w:val="18"/>
                <w:szCs w:val="18"/>
                <w:highlight w:val="yellow"/>
              </w:rPr>
              <w:t xml:space="preserve"> BankV;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0B1ED2" w:rsidRPr="009872F3" w14:paraId="0F9D5935" w14:textId="77777777" w:rsidTr="00DB5BE8">
        <w:trPr>
          <w:trHeight w:val="294"/>
        </w:trPr>
        <w:tc>
          <w:tcPr>
            <w:tcW w:w="9180" w:type="dxa"/>
            <w:gridSpan w:val="4"/>
          </w:tcPr>
          <w:p w14:paraId="57526945" w14:textId="77777777" w:rsidR="000B1ED2" w:rsidRPr="009872F3" w:rsidRDefault="000B1ED2" w:rsidP="00DB5BE8">
            <w:pPr>
              <w:jc w:val="both"/>
              <w:rPr>
                <w:rFonts w:ascii="Arial" w:hAnsi="Arial" w:cs="Arial"/>
                <w:sz w:val="18"/>
                <w:szCs w:val="18"/>
              </w:rPr>
            </w:pPr>
          </w:p>
        </w:tc>
      </w:tr>
      <w:tr w:rsidR="000B1ED2" w:rsidRPr="009872F3" w14:paraId="4EB2F20D" w14:textId="77777777" w:rsidTr="00DB5BE8">
        <w:tc>
          <w:tcPr>
            <w:tcW w:w="5798" w:type="dxa"/>
            <w:gridSpan w:val="3"/>
          </w:tcPr>
          <w:p w14:paraId="2273F144" w14:textId="009CD981" w:rsidR="000B1ED2" w:rsidRPr="00C1307E" w:rsidRDefault="000B1ED2"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E94756">
              <w:rPr>
                <w:rFonts w:ascii="Arial" w:hAnsi="Arial" w:cs="Arial"/>
                <w:sz w:val="18"/>
                <w:szCs w:val="18"/>
              </w:rPr>
              <w:t>o</w:t>
            </w:r>
            <w:r>
              <w:rPr>
                <w:rFonts w:ascii="Arial" w:hAnsi="Arial" w:cs="Arial"/>
                <w:sz w:val="18"/>
                <w:szCs w:val="18"/>
              </w:rPr>
              <w:t>perationellen Risiken im Zusammenhang mit Treuhandgeschäfte</w:t>
            </w:r>
            <w:r w:rsidR="00E94756">
              <w:rPr>
                <w:rFonts w:ascii="Arial" w:hAnsi="Arial" w:cs="Arial"/>
                <w:sz w:val="18"/>
                <w:szCs w:val="18"/>
              </w:rPr>
              <w:t>n</w:t>
            </w:r>
            <w:r>
              <w:rPr>
                <w:rFonts w:ascii="Arial" w:hAnsi="Arial" w:cs="Arial"/>
                <w:sz w:val="18"/>
                <w:szCs w:val="18"/>
              </w:rPr>
              <w:t xml:space="preserve"> für Kunden </w:t>
            </w:r>
            <w:r w:rsidRPr="00C1307E">
              <w:rPr>
                <w:rFonts w:ascii="Arial" w:hAnsi="Arial" w:cs="Arial"/>
                <w:sz w:val="18"/>
                <w:szCs w:val="18"/>
              </w:rPr>
              <w:t>angemessen ausgestaltet ist.</w:t>
            </w:r>
          </w:p>
        </w:tc>
        <w:tc>
          <w:tcPr>
            <w:tcW w:w="3382" w:type="dxa"/>
          </w:tcPr>
          <w:p w14:paraId="54FB7B38" w14:textId="77777777" w:rsidR="000B1ED2" w:rsidRPr="00E109DF" w:rsidRDefault="000B1ED2"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3115F2B3" w14:textId="77777777" w:rsidTr="00DB5BE8">
        <w:tc>
          <w:tcPr>
            <w:tcW w:w="5798" w:type="dxa"/>
            <w:gridSpan w:val="3"/>
          </w:tcPr>
          <w:p w14:paraId="41FCCD57" w14:textId="1C50E4AF"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E94756">
              <w:rPr>
                <w:rFonts w:ascii="Arial" w:hAnsi="Arial" w:cs="Arial"/>
                <w:sz w:val="18"/>
                <w:szCs w:val="18"/>
              </w:rPr>
              <w:t>o</w:t>
            </w:r>
            <w:r>
              <w:rPr>
                <w:rFonts w:ascii="Arial" w:hAnsi="Arial" w:cs="Arial"/>
                <w:sz w:val="18"/>
                <w:szCs w:val="18"/>
              </w:rPr>
              <w:t>perationellen Risiken im Zusammenhang mit Treuhandgeschäfte</w:t>
            </w:r>
            <w:r w:rsidR="00E94756">
              <w:rPr>
                <w:rFonts w:ascii="Arial" w:hAnsi="Arial" w:cs="Arial"/>
                <w:sz w:val="18"/>
                <w:szCs w:val="18"/>
              </w:rPr>
              <w:t>n</w:t>
            </w:r>
            <w:r>
              <w:rPr>
                <w:rFonts w:ascii="Arial" w:hAnsi="Arial" w:cs="Arial"/>
                <w:sz w:val="18"/>
                <w:szCs w:val="18"/>
              </w:rPr>
              <w:t xml:space="preserve"> für Kunden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A5E5CAC"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B1ED2" w:rsidRPr="009872F3" w14:paraId="29B22BE0" w14:textId="77777777" w:rsidTr="00DB5BE8">
        <w:tc>
          <w:tcPr>
            <w:tcW w:w="5798" w:type="dxa"/>
            <w:gridSpan w:val="3"/>
          </w:tcPr>
          <w:p w14:paraId="320C8A0E" w14:textId="6661D79A" w:rsidR="000B1ED2" w:rsidRPr="00C1307E" w:rsidRDefault="000B1ED2"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E94756">
              <w:rPr>
                <w:rFonts w:ascii="Arial" w:hAnsi="Arial" w:cs="Arial"/>
                <w:sz w:val="18"/>
                <w:szCs w:val="18"/>
              </w:rPr>
              <w:t>o</w:t>
            </w:r>
            <w:r>
              <w:rPr>
                <w:rFonts w:ascii="Arial" w:hAnsi="Arial" w:cs="Arial"/>
                <w:sz w:val="18"/>
                <w:szCs w:val="18"/>
              </w:rPr>
              <w:t>perationellen Risiken Zusammenhang mit Treuhandgeschäfte</w:t>
            </w:r>
            <w:r w:rsidR="00E94756">
              <w:rPr>
                <w:rFonts w:ascii="Arial" w:hAnsi="Arial" w:cs="Arial"/>
                <w:sz w:val="18"/>
                <w:szCs w:val="18"/>
              </w:rPr>
              <w:t>n</w:t>
            </w:r>
            <w:r>
              <w:rPr>
                <w:rFonts w:ascii="Arial" w:hAnsi="Arial" w:cs="Arial"/>
                <w:sz w:val="18"/>
                <w:szCs w:val="18"/>
              </w:rPr>
              <w:t xml:space="preserve"> für Kunden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26190A70" w14:textId="77777777" w:rsidR="000B1ED2" w:rsidRPr="009872F3" w:rsidRDefault="000B1ED2"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34A0B44" w14:textId="77777777" w:rsidR="000B1ED2" w:rsidRPr="00CE3194" w:rsidRDefault="000B1ED2" w:rsidP="000B1ED2">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0B1ED2" w:rsidRPr="00CE3194" w14:paraId="5C1BC983" w14:textId="77777777" w:rsidTr="00DB5BE8">
        <w:tc>
          <w:tcPr>
            <w:tcW w:w="2660" w:type="dxa"/>
          </w:tcPr>
          <w:p w14:paraId="3A9EEFD8"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E63F786" w14:textId="77777777" w:rsidR="000B1ED2" w:rsidRPr="00CE3194" w:rsidRDefault="000B1ED2"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0B1ED2" w:rsidRPr="00CE3194" w14:paraId="21623D6B" w14:textId="77777777" w:rsidTr="00DB5BE8">
        <w:tc>
          <w:tcPr>
            <w:tcW w:w="2660" w:type="dxa"/>
          </w:tcPr>
          <w:p w14:paraId="310E8DEB"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667365B" w14:textId="77777777" w:rsidR="0050402B" w:rsidRDefault="0050402B" w:rsidP="0050402B">
            <w:pPr>
              <w:jc w:val="both"/>
              <w:rPr>
                <w:rFonts w:ascii="Arial" w:hAnsi="Arial" w:cs="Arial"/>
                <w:i/>
                <w:sz w:val="20"/>
                <w:szCs w:val="20"/>
                <w:highlight w:val="lightGray"/>
              </w:rPr>
            </w:pPr>
          </w:p>
          <w:p w14:paraId="109D0D90" w14:textId="77777777" w:rsidR="000B1ED2"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w:t>
            </w:r>
            <w:r>
              <w:rPr>
                <w:rFonts w:ascii="Arial" w:hAnsi="Arial" w:cs="Arial"/>
                <w:i/>
                <w:sz w:val="20"/>
                <w:szCs w:val="20"/>
                <w:highlight w:val="lightGray"/>
              </w:rPr>
              <w:lastRenderedPageBreak/>
              <w:t>(personell und technisch)</w:t>
            </w:r>
            <w:r w:rsidRPr="00667026">
              <w:rPr>
                <w:rFonts w:ascii="Arial" w:hAnsi="Arial" w:cs="Arial"/>
                <w:i/>
                <w:sz w:val="20"/>
                <w:szCs w:val="20"/>
                <w:highlight w:val="lightGray"/>
              </w:rPr>
              <w:t>, Know-How, Interessenskonflikte)</w:t>
            </w:r>
          </w:p>
        </w:tc>
        <w:tc>
          <w:tcPr>
            <w:tcW w:w="6520" w:type="dxa"/>
          </w:tcPr>
          <w:p w14:paraId="741E123E"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40AED8EC"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EC4AE14" w14:textId="167559BB"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2A56EEA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die fachliche Eignung und Zuverlässigkeit der Mitarbeiter sicher;</w:t>
            </w:r>
          </w:p>
          <w:p w14:paraId="640EA87A"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5893335" w14:textId="77777777" w:rsidTr="00DB5BE8">
        <w:tc>
          <w:tcPr>
            <w:tcW w:w="2660" w:type="dxa"/>
          </w:tcPr>
          <w:p w14:paraId="50DAF75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7B4F39F6" w14:textId="77777777" w:rsidR="0074539F" w:rsidRPr="00CE3194" w:rsidRDefault="0074539F" w:rsidP="00DB5BE8">
            <w:pPr>
              <w:jc w:val="both"/>
              <w:rPr>
                <w:rFonts w:ascii="Arial" w:hAnsi="Arial" w:cs="Arial"/>
                <w:i/>
                <w:sz w:val="20"/>
                <w:szCs w:val="20"/>
                <w:highlight w:val="lightGray"/>
              </w:rPr>
            </w:pPr>
          </w:p>
        </w:tc>
        <w:tc>
          <w:tcPr>
            <w:tcW w:w="6520" w:type="dxa"/>
          </w:tcPr>
          <w:p w14:paraId="296F9A83" w14:textId="502E55C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39876F14" w14:textId="2F002ACF"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1BBD23CA" w14:textId="347712C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4212C7D6"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0B1ED2" w14:paraId="7BC83D16" w14:textId="77777777" w:rsidTr="00DB5BE8">
        <w:tc>
          <w:tcPr>
            <w:tcW w:w="2660" w:type="dxa"/>
          </w:tcPr>
          <w:p w14:paraId="5B7E699E" w14:textId="77777777" w:rsidR="000B1ED2" w:rsidRDefault="000B1ED2"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BA6CBC9" w14:textId="63BD8045"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68E49B62"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529F5BD"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5C52628" w14:textId="77777777" w:rsidR="000B1ED2" w:rsidRPr="00CE3194" w:rsidRDefault="000B1ED2"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0489DE1C" w14:textId="77777777" w:rsidR="000B1ED2" w:rsidRPr="005B66F8" w:rsidRDefault="000B1ED2"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755A5D9" w14:textId="1C9D96CD"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w:t>
            </w:r>
            <w:r w:rsidRPr="00A938AE">
              <w:rPr>
                <w:rFonts w:cs="Arial"/>
                <w:i/>
                <w:szCs w:val="20"/>
                <w:highlight w:val="lightGray"/>
              </w:rPr>
              <w:t xml:space="preserve">Gesamtrisikoaggregation 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4BDC6B3B" w14:textId="77777777" w:rsidR="000B1ED2" w:rsidRDefault="000B1ED2" w:rsidP="00CB3EE6">
      <w:pPr>
        <w:jc w:val="both"/>
        <w:rPr>
          <w:rFonts w:cs="Arial"/>
          <w:szCs w:val="20"/>
        </w:rPr>
      </w:pPr>
    </w:p>
    <w:p w14:paraId="620A822F"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831376A" w14:textId="77777777" w:rsidR="00E70DF4" w:rsidRDefault="00E70DF4" w:rsidP="00CB3EE6">
      <w:pPr>
        <w:jc w:val="both"/>
        <w:rPr>
          <w:rFonts w:cs="Arial"/>
          <w:szCs w:val="20"/>
        </w:rPr>
      </w:pPr>
    </w:p>
    <w:p w14:paraId="2327BE64" w14:textId="77777777" w:rsidR="00E70DF4" w:rsidRDefault="00E70DF4" w:rsidP="00CB3EE6">
      <w:pPr>
        <w:jc w:val="both"/>
        <w:rPr>
          <w:rFonts w:cs="Arial"/>
          <w:szCs w:val="20"/>
        </w:rPr>
      </w:pPr>
    </w:p>
    <w:p w14:paraId="46BFD6D9" w14:textId="77777777" w:rsidR="006067FE" w:rsidRPr="006730AC" w:rsidRDefault="006067FE" w:rsidP="006F7AB5">
      <w:pPr>
        <w:pStyle w:val="FINMAGliederungEbene3"/>
      </w:pPr>
      <w:bookmarkStart w:id="39" w:name="_Toc216425788"/>
      <w:r>
        <w:t xml:space="preserve">Operationelle Risiken im Zusammenhang mit </w:t>
      </w:r>
      <w:r w:rsidR="00295664">
        <w:t>OTC-Geschäfte</w:t>
      </w:r>
      <w:r w:rsidR="0015284E">
        <w:t>n</w:t>
      </w:r>
      <w:r w:rsidR="00543DCA">
        <w:t xml:space="preserve"> (GR-2</w:t>
      </w:r>
      <w:r w:rsidR="00DB5BE8">
        <w:t>1</w:t>
      </w:r>
      <w:r w:rsidR="00543DCA">
        <w:t>)</w:t>
      </w:r>
      <w:bookmarkEnd w:id="39"/>
    </w:p>
    <w:p w14:paraId="48A2187A"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3E87CE75" w14:textId="77777777" w:rsidTr="00DB5BE8">
        <w:trPr>
          <w:trHeight w:val="563"/>
        </w:trPr>
        <w:tc>
          <w:tcPr>
            <w:tcW w:w="1932" w:type="dxa"/>
          </w:tcPr>
          <w:p w14:paraId="0D91CB6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2D34E20C"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0D09F9A"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7289293D" w14:textId="77777777" w:rsidTr="00DB5BE8">
        <w:trPr>
          <w:trHeight w:val="698"/>
        </w:trPr>
        <w:tc>
          <w:tcPr>
            <w:tcW w:w="1932" w:type="dxa"/>
          </w:tcPr>
          <w:p w14:paraId="7B082D7A" w14:textId="770D8051"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3C58C6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CA7C7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BAC87C9"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E223EF"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52355D86" w14:textId="77777777" w:rsidTr="00DB5BE8">
        <w:trPr>
          <w:trHeight w:val="636"/>
        </w:trPr>
        <w:tc>
          <w:tcPr>
            <w:tcW w:w="9180" w:type="dxa"/>
            <w:gridSpan w:val="4"/>
          </w:tcPr>
          <w:p w14:paraId="130009D1" w14:textId="77777777" w:rsidR="00DB5BE8" w:rsidRDefault="00DB5BE8" w:rsidP="00DB5BE8">
            <w:pPr>
              <w:jc w:val="both"/>
              <w:rPr>
                <w:rFonts w:ascii="Arial" w:hAnsi="Arial" w:cs="Arial"/>
                <w:sz w:val="18"/>
                <w:szCs w:val="18"/>
              </w:rPr>
            </w:pPr>
          </w:p>
          <w:p w14:paraId="038545C3"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AD1EB1C" w14:textId="0FFDF76D"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w:t>
            </w:r>
            <w:r w:rsidR="00D408E8">
              <w:rPr>
                <w:rFonts w:ascii="Arial" w:hAnsi="Arial" w:cs="Arial"/>
                <w:sz w:val="18"/>
                <w:szCs w:val="18"/>
                <w:highlight w:val="yellow"/>
              </w:rPr>
              <w:t>9</w:t>
            </w:r>
            <w:r w:rsidRPr="00CB3EE6">
              <w:rPr>
                <w:rFonts w:ascii="Arial" w:hAnsi="Arial" w:cs="Arial"/>
                <w:sz w:val="18"/>
                <w:szCs w:val="18"/>
                <w:highlight w:val="yellow"/>
              </w:rPr>
              <w:t xml:space="preserve"> BankG; Art. 2</w:t>
            </w:r>
            <w:r w:rsidR="00D408E8">
              <w:rPr>
                <w:rFonts w:ascii="Arial" w:hAnsi="Arial" w:cs="Arial"/>
                <w:sz w:val="18"/>
                <w:szCs w:val="18"/>
                <w:highlight w:val="yellow"/>
              </w:rPr>
              <w:t>3</w:t>
            </w:r>
            <w:r w:rsidRPr="00CB3EE6">
              <w:rPr>
                <w:rFonts w:ascii="Arial" w:hAnsi="Arial" w:cs="Arial"/>
                <w:sz w:val="18"/>
                <w:szCs w:val="18"/>
                <w:highlight w:val="yellow"/>
              </w:rPr>
              <w:t xml:space="preserve"> BankV;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DB5BE8" w:rsidRPr="009872F3" w14:paraId="2E8154E9" w14:textId="77777777" w:rsidTr="00DB5BE8">
        <w:trPr>
          <w:trHeight w:val="294"/>
        </w:trPr>
        <w:tc>
          <w:tcPr>
            <w:tcW w:w="9180" w:type="dxa"/>
            <w:gridSpan w:val="4"/>
          </w:tcPr>
          <w:p w14:paraId="6451BB0A" w14:textId="77777777" w:rsidR="00DB5BE8" w:rsidRPr="009872F3" w:rsidRDefault="00DB5BE8" w:rsidP="00DB5BE8">
            <w:pPr>
              <w:jc w:val="both"/>
              <w:rPr>
                <w:rFonts w:ascii="Arial" w:hAnsi="Arial" w:cs="Arial"/>
                <w:sz w:val="18"/>
                <w:szCs w:val="18"/>
              </w:rPr>
            </w:pPr>
          </w:p>
        </w:tc>
      </w:tr>
      <w:tr w:rsidR="00DB5BE8" w:rsidRPr="009872F3" w14:paraId="4A892F9F" w14:textId="77777777" w:rsidTr="00DB5BE8">
        <w:tc>
          <w:tcPr>
            <w:tcW w:w="5798" w:type="dxa"/>
            <w:gridSpan w:val="3"/>
          </w:tcPr>
          <w:p w14:paraId="32A34629" w14:textId="529925F8"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OTC-Geschäften</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CC772BA"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23A705B4" w14:textId="77777777" w:rsidTr="00DB5BE8">
        <w:tc>
          <w:tcPr>
            <w:tcW w:w="5798" w:type="dxa"/>
            <w:gridSpan w:val="3"/>
          </w:tcPr>
          <w:p w14:paraId="0BF4CFBD" w14:textId="5852765B"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 xml:space="preserve">perationellen Risiken im Zusammenhang mit </w:t>
            </w:r>
            <w:r w:rsidR="00295664">
              <w:rPr>
                <w:rFonts w:ascii="Arial" w:hAnsi="Arial" w:cs="Arial"/>
                <w:sz w:val="18"/>
                <w:szCs w:val="18"/>
              </w:rPr>
              <w:t>OTC-Geschäften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9D24B7E"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4FC026AD" w14:textId="77777777" w:rsidTr="00DB5BE8">
        <w:tc>
          <w:tcPr>
            <w:tcW w:w="5798" w:type="dxa"/>
            <w:gridSpan w:val="3"/>
          </w:tcPr>
          <w:p w14:paraId="59929791" w14:textId="6E936409"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 xml:space="preserve">perationellen </w:t>
            </w:r>
            <w:r>
              <w:rPr>
                <w:rFonts w:ascii="Arial" w:hAnsi="Arial" w:cs="Arial"/>
                <w:sz w:val="18"/>
                <w:szCs w:val="18"/>
              </w:rPr>
              <w:lastRenderedPageBreak/>
              <w:t xml:space="preserve">Risiken Zusammenhang mit </w:t>
            </w:r>
            <w:r w:rsidR="00295664">
              <w:rPr>
                <w:rFonts w:ascii="Arial" w:hAnsi="Arial" w:cs="Arial"/>
                <w:sz w:val="18"/>
                <w:szCs w:val="18"/>
              </w:rPr>
              <w:t xml:space="preserve">OTC-Geschäften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7CD72F6"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998967D"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268927E8" w14:textId="77777777" w:rsidTr="00DB5BE8">
        <w:tc>
          <w:tcPr>
            <w:tcW w:w="2660" w:type="dxa"/>
          </w:tcPr>
          <w:p w14:paraId="0DD1F282"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A512870"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4781CC43" w14:textId="77777777" w:rsidTr="00DB5BE8">
        <w:tc>
          <w:tcPr>
            <w:tcW w:w="2660" w:type="dxa"/>
          </w:tcPr>
          <w:p w14:paraId="76CCB33D"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60521B3" w14:textId="77777777" w:rsidR="0050402B" w:rsidRDefault="0050402B" w:rsidP="0050402B">
            <w:pPr>
              <w:jc w:val="both"/>
              <w:rPr>
                <w:rFonts w:ascii="Arial" w:hAnsi="Arial" w:cs="Arial"/>
                <w:i/>
                <w:sz w:val="20"/>
                <w:szCs w:val="20"/>
                <w:highlight w:val="lightGray"/>
              </w:rPr>
            </w:pPr>
          </w:p>
          <w:p w14:paraId="2DEA914B"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AD4A5B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AE7260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0AB3A6E" w14:textId="571926E0"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3ED5DEA"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438863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5E54D19" w14:textId="77777777" w:rsidTr="00DB5BE8">
        <w:tc>
          <w:tcPr>
            <w:tcW w:w="2660" w:type="dxa"/>
          </w:tcPr>
          <w:p w14:paraId="59860FD6"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71A7B5C" w14:textId="77777777" w:rsidR="0074539F" w:rsidRPr="00CE3194" w:rsidRDefault="0074539F" w:rsidP="00DB5BE8">
            <w:pPr>
              <w:jc w:val="both"/>
              <w:rPr>
                <w:rFonts w:ascii="Arial" w:hAnsi="Arial" w:cs="Arial"/>
                <w:i/>
                <w:sz w:val="20"/>
                <w:szCs w:val="20"/>
                <w:highlight w:val="lightGray"/>
              </w:rPr>
            </w:pPr>
          </w:p>
        </w:tc>
        <w:tc>
          <w:tcPr>
            <w:tcW w:w="6520" w:type="dxa"/>
          </w:tcPr>
          <w:p w14:paraId="1DFB1A24" w14:textId="1D09BC0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526A6E0" w14:textId="7AF5487F"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6DCCA5F" w14:textId="2EEB2A4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0F4C870A"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42280253" w14:textId="77777777" w:rsidTr="00DB5BE8">
        <w:tc>
          <w:tcPr>
            <w:tcW w:w="2660" w:type="dxa"/>
          </w:tcPr>
          <w:p w14:paraId="48CB6FFA"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F93B6FE" w14:textId="1DDFA51B"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20DFFAB4"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BA1895B"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F1F4A38"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2798AAD"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6EF7DF" w14:textId="19804C6A"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w:t>
            </w:r>
            <w:r w:rsidRPr="00A938AE">
              <w:rPr>
                <w:rFonts w:cs="Arial"/>
                <w:i/>
                <w:szCs w:val="20"/>
                <w:highlight w:val="lightGray"/>
              </w:rPr>
              <w:t xml:space="preserve">Gesamtrisikoaggregation sowie 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13EDFB9A" w14:textId="77777777" w:rsidR="00DB5BE8" w:rsidRDefault="00DB5BE8" w:rsidP="00CB3EE6">
      <w:pPr>
        <w:jc w:val="both"/>
        <w:rPr>
          <w:rFonts w:cs="Arial"/>
          <w:szCs w:val="20"/>
        </w:rPr>
      </w:pPr>
    </w:p>
    <w:p w14:paraId="2BDA076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665BE18C" w14:textId="77777777" w:rsidR="00E70DF4" w:rsidRDefault="00E70DF4" w:rsidP="00CB3EE6">
      <w:pPr>
        <w:jc w:val="both"/>
        <w:rPr>
          <w:rFonts w:cs="Arial"/>
          <w:szCs w:val="20"/>
        </w:rPr>
      </w:pPr>
    </w:p>
    <w:p w14:paraId="6DE8A8D9" w14:textId="77777777" w:rsidR="00DB5BE8" w:rsidRPr="006730AC" w:rsidRDefault="00DB5BE8" w:rsidP="00CB3EE6">
      <w:pPr>
        <w:jc w:val="both"/>
        <w:rPr>
          <w:rFonts w:cs="Arial"/>
          <w:szCs w:val="20"/>
        </w:rPr>
      </w:pPr>
    </w:p>
    <w:p w14:paraId="11A289BE" w14:textId="77777777" w:rsidR="006067FE" w:rsidRPr="006730AC" w:rsidRDefault="006067FE" w:rsidP="006F7AB5">
      <w:pPr>
        <w:pStyle w:val="FINMAGliederungEbene3"/>
      </w:pPr>
      <w:bookmarkStart w:id="40" w:name="_Toc216425789"/>
      <w:r>
        <w:t xml:space="preserve">Operationelle Risiken im Zusammenhang mit dem </w:t>
      </w:r>
      <w:r w:rsidRPr="002E5C20">
        <w:rPr>
          <w:highlight w:val="yellow"/>
        </w:rPr>
        <w:t>Depotbank- und/oder Zentralverwahrungsgeschäft</w:t>
      </w:r>
      <w:r w:rsidR="00543DCA">
        <w:t xml:space="preserve"> (GR-2</w:t>
      </w:r>
      <w:r w:rsidR="00DB5BE8">
        <w:t>2</w:t>
      </w:r>
      <w:r w:rsidR="00543DCA">
        <w:t>)</w:t>
      </w:r>
      <w:bookmarkEnd w:id="40"/>
    </w:p>
    <w:p w14:paraId="238AE9B5"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4A9679D2" w14:textId="77777777" w:rsidTr="00DB5BE8">
        <w:trPr>
          <w:trHeight w:val="563"/>
        </w:trPr>
        <w:tc>
          <w:tcPr>
            <w:tcW w:w="1932" w:type="dxa"/>
          </w:tcPr>
          <w:p w14:paraId="23349AA0"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341CA5BF"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A0F5E03"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4B00AFB3" w14:textId="77777777" w:rsidTr="00DB5BE8">
        <w:trPr>
          <w:trHeight w:val="698"/>
        </w:trPr>
        <w:tc>
          <w:tcPr>
            <w:tcW w:w="1932" w:type="dxa"/>
          </w:tcPr>
          <w:p w14:paraId="09CC5A3D" w14:textId="5C00ACB1"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7FAE8DAE"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7E3CE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3F34AF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78F2EBB"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3C80A539" w14:textId="77777777" w:rsidTr="00DB5BE8">
        <w:trPr>
          <w:trHeight w:val="636"/>
        </w:trPr>
        <w:tc>
          <w:tcPr>
            <w:tcW w:w="9180" w:type="dxa"/>
            <w:gridSpan w:val="4"/>
          </w:tcPr>
          <w:p w14:paraId="746131ED" w14:textId="77777777" w:rsidR="00DB5BE8" w:rsidRDefault="00DB5BE8" w:rsidP="00DB5BE8">
            <w:pPr>
              <w:jc w:val="both"/>
              <w:rPr>
                <w:rFonts w:ascii="Arial" w:hAnsi="Arial" w:cs="Arial"/>
                <w:sz w:val="18"/>
                <w:szCs w:val="18"/>
              </w:rPr>
            </w:pPr>
          </w:p>
          <w:p w14:paraId="4FC55160"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FCFA883" w14:textId="51D702BA"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w:t>
            </w:r>
            <w:r w:rsidR="00D408E8">
              <w:rPr>
                <w:rFonts w:ascii="Arial" w:hAnsi="Arial" w:cs="Arial"/>
                <w:sz w:val="18"/>
                <w:szCs w:val="18"/>
                <w:highlight w:val="yellow"/>
              </w:rPr>
              <w:t>9</w:t>
            </w:r>
            <w:r w:rsidRPr="00CB3EE6">
              <w:rPr>
                <w:rFonts w:ascii="Arial" w:hAnsi="Arial" w:cs="Arial"/>
                <w:sz w:val="18"/>
                <w:szCs w:val="18"/>
                <w:highlight w:val="yellow"/>
              </w:rPr>
              <w:t xml:space="preserve"> BankG; Art. 2</w:t>
            </w:r>
            <w:r w:rsidR="00D408E8">
              <w:rPr>
                <w:rFonts w:ascii="Arial" w:hAnsi="Arial" w:cs="Arial"/>
                <w:sz w:val="18"/>
                <w:szCs w:val="18"/>
                <w:highlight w:val="yellow"/>
              </w:rPr>
              <w:t>3</w:t>
            </w:r>
            <w:r w:rsidRPr="00CB3EE6">
              <w:rPr>
                <w:rFonts w:ascii="Arial" w:hAnsi="Arial" w:cs="Arial"/>
                <w:sz w:val="18"/>
                <w:szCs w:val="18"/>
                <w:highlight w:val="yellow"/>
              </w:rPr>
              <w:t xml:space="preserve"> BankV; </w:t>
            </w:r>
            <w:r w:rsidR="00752F45" w:rsidRPr="002A1419">
              <w:rPr>
                <w:rFonts w:ascii="Arial" w:hAnsi="Arial" w:cs="Arial"/>
                <w:sz w:val="18"/>
                <w:szCs w:val="18"/>
                <w:highlight w:val="yellow"/>
              </w:rPr>
              <w:t>Art. 16 BankV</w:t>
            </w:r>
            <w:r w:rsid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 FMA-Mitteilung 2016/01, IUG, AIFMG, UCITSG</w:t>
            </w:r>
            <w:r w:rsidR="009E273B">
              <w:rPr>
                <w:rFonts w:ascii="Arial" w:hAnsi="Arial" w:cs="Arial"/>
                <w:sz w:val="18"/>
                <w:szCs w:val="18"/>
                <w:highlight w:val="yellow"/>
              </w:rPr>
              <w:t>; EBA/GL/2021/05</w:t>
            </w:r>
          </w:p>
        </w:tc>
      </w:tr>
      <w:tr w:rsidR="00DB5BE8" w:rsidRPr="009872F3" w14:paraId="32E280EE" w14:textId="77777777" w:rsidTr="00DB5BE8">
        <w:trPr>
          <w:trHeight w:val="294"/>
        </w:trPr>
        <w:tc>
          <w:tcPr>
            <w:tcW w:w="9180" w:type="dxa"/>
            <w:gridSpan w:val="4"/>
          </w:tcPr>
          <w:p w14:paraId="2E4F4A4F" w14:textId="77777777" w:rsidR="00DB5BE8" w:rsidRPr="009872F3" w:rsidRDefault="00DB5BE8" w:rsidP="00DB5BE8">
            <w:pPr>
              <w:jc w:val="both"/>
              <w:rPr>
                <w:rFonts w:ascii="Arial" w:hAnsi="Arial" w:cs="Arial"/>
                <w:sz w:val="18"/>
                <w:szCs w:val="18"/>
              </w:rPr>
            </w:pPr>
          </w:p>
        </w:tc>
      </w:tr>
      <w:tr w:rsidR="00DB5BE8" w:rsidRPr="009872F3" w14:paraId="0FC648A6" w14:textId="77777777" w:rsidTr="00DB5BE8">
        <w:tc>
          <w:tcPr>
            <w:tcW w:w="5798" w:type="dxa"/>
            <w:gridSpan w:val="3"/>
          </w:tcPr>
          <w:p w14:paraId="36790832" w14:textId="2771AB73" w:rsidR="00DB5BE8" w:rsidRPr="00C1307E" w:rsidRDefault="00DB5BE8" w:rsidP="006730AC">
            <w:pPr>
              <w:jc w:val="both"/>
              <w:rPr>
                <w:rFonts w:ascii="Arial" w:hAnsi="Arial" w:cs="Arial"/>
                <w:sz w:val="18"/>
                <w:szCs w:val="18"/>
              </w:rPr>
            </w:pPr>
            <w:r w:rsidRPr="00C1307E">
              <w:rPr>
                <w:rFonts w:ascii="Arial" w:hAnsi="Arial" w:cs="Arial"/>
                <w:sz w:val="18"/>
                <w:szCs w:val="18"/>
              </w:rPr>
              <w:lastRenderedPageBreak/>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 </w:t>
            </w:r>
            <w:r w:rsidRPr="00C1307E">
              <w:rPr>
                <w:rFonts w:ascii="Arial" w:hAnsi="Arial" w:cs="Arial"/>
                <w:sz w:val="18"/>
                <w:szCs w:val="18"/>
              </w:rPr>
              <w:t>angemessen ausgestaltet ist.</w:t>
            </w:r>
          </w:p>
        </w:tc>
        <w:tc>
          <w:tcPr>
            <w:tcW w:w="3382" w:type="dxa"/>
          </w:tcPr>
          <w:p w14:paraId="5C3C48EB"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58A9136C" w14:textId="77777777" w:rsidTr="00DB5BE8">
        <w:tc>
          <w:tcPr>
            <w:tcW w:w="5798" w:type="dxa"/>
            <w:gridSpan w:val="3"/>
          </w:tcPr>
          <w:p w14:paraId="44DDC3A6" w14:textId="4ECB301F"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 xml:space="preserve">perationellen Risiken im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AA78BC1"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06B1E57" w14:textId="77777777" w:rsidTr="00DB5BE8">
        <w:tc>
          <w:tcPr>
            <w:tcW w:w="5798" w:type="dxa"/>
            <w:gridSpan w:val="3"/>
          </w:tcPr>
          <w:p w14:paraId="695B0BCB" w14:textId="6401EAD4"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 xml:space="preserve">perationellen Risiken Zusammenhang mit dem </w:t>
            </w:r>
            <w:r w:rsidRPr="006634A7">
              <w:rPr>
                <w:rFonts w:ascii="Arial" w:hAnsi="Arial" w:cs="Arial"/>
                <w:sz w:val="18"/>
                <w:szCs w:val="18"/>
                <w:highlight w:val="yellow"/>
              </w:rPr>
              <w:t>Depotbank- und/oder</w:t>
            </w:r>
            <w:r>
              <w:rPr>
                <w:rFonts w:ascii="Arial" w:hAnsi="Arial" w:cs="Arial"/>
                <w:sz w:val="18"/>
                <w:szCs w:val="18"/>
              </w:rPr>
              <w:t xml:space="preserve"> Zentralverwahrungsgeschäft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4E06AB9"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77AEFE"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1AA38320" w14:textId="77777777" w:rsidTr="00DB5BE8">
        <w:tc>
          <w:tcPr>
            <w:tcW w:w="2660" w:type="dxa"/>
          </w:tcPr>
          <w:p w14:paraId="228139BD"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290DE0D"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0A750427" w14:textId="77777777" w:rsidTr="00DB5BE8">
        <w:tc>
          <w:tcPr>
            <w:tcW w:w="2660" w:type="dxa"/>
          </w:tcPr>
          <w:p w14:paraId="0DEA1368"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7F739C5" w14:textId="77777777" w:rsidR="0050402B" w:rsidRDefault="0050402B" w:rsidP="0050402B">
            <w:pPr>
              <w:jc w:val="both"/>
              <w:rPr>
                <w:rFonts w:ascii="Arial" w:hAnsi="Arial" w:cs="Arial"/>
                <w:i/>
                <w:sz w:val="20"/>
                <w:szCs w:val="20"/>
                <w:highlight w:val="lightGray"/>
              </w:rPr>
            </w:pPr>
          </w:p>
          <w:p w14:paraId="1270353A"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75B6B2C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CF686A3"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8981A85" w14:textId="0EC175C2"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E3E2B2C"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20AFC1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708BB1F" w14:textId="77777777" w:rsidTr="00DB5BE8">
        <w:tc>
          <w:tcPr>
            <w:tcW w:w="2660" w:type="dxa"/>
          </w:tcPr>
          <w:p w14:paraId="462CF5D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5DF9F8E" w14:textId="77777777" w:rsidR="0074539F" w:rsidRPr="00CE3194" w:rsidRDefault="0074539F" w:rsidP="00DB5BE8">
            <w:pPr>
              <w:jc w:val="both"/>
              <w:rPr>
                <w:rFonts w:ascii="Arial" w:hAnsi="Arial" w:cs="Arial"/>
                <w:i/>
                <w:sz w:val="20"/>
                <w:szCs w:val="20"/>
                <w:highlight w:val="lightGray"/>
              </w:rPr>
            </w:pPr>
          </w:p>
        </w:tc>
        <w:tc>
          <w:tcPr>
            <w:tcW w:w="6520" w:type="dxa"/>
          </w:tcPr>
          <w:p w14:paraId="2EF8E6C0" w14:textId="4090779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1DB91743" w14:textId="5F18C4E0"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0BE3211" w14:textId="5445A1D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B939003"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2E358774" w14:textId="77777777" w:rsidTr="00DB5BE8">
        <w:tc>
          <w:tcPr>
            <w:tcW w:w="2660" w:type="dxa"/>
          </w:tcPr>
          <w:p w14:paraId="54FF942A"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E3EB6B" w14:textId="594E6750"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21CB51B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00BD93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197E73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1321823"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B8F2970" w14:textId="01494D94"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569A37D8" w14:textId="77777777" w:rsidR="00DB5BE8" w:rsidRDefault="00DB5BE8" w:rsidP="00CB3EE6">
      <w:pPr>
        <w:jc w:val="both"/>
        <w:rPr>
          <w:rFonts w:cs="Arial"/>
          <w:szCs w:val="20"/>
        </w:rPr>
      </w:pPr>
    </w:p>
    <w:p w14:paraId="755D36F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14130909" w14:textId="77777777" w:rsidR="00E70DF4" w:rsidRDefault="00E70DF4" w:rsidP="00CB3EE6">
      <w:pPr>
        <w:jc w:val="both"/>
        <w:rPr>
          <w:rFonts w:cs="Arial"/>
          <w:szCs w:val="20"/>
        </w:rPr>
      </w:pPr>
    </w:p>
    <w:p w14:paraId="394E6D9F" w14:textId="77777777" w:rsidR="00DB5BE8" w:rsidRPr="006730AC" w:rsidRDefault="00DB5BE8" w:rsidP="00CB3EE6">
      <w:pPr>
        <w:jc w:val="both"/>
        <w:rPr>
          <w:rFonts w:cs="Arial"/>
          <w:szCs w:val="20"/>
        </w:rPr>
      </w:pPr>
    </w:p>
    <w:p w14:paraId="10D02DF4" w14:textId="389AB17D" w:rsidR="006067FE" w:rsidRPr="006730AC" w:rsidRDefault="006067FE" w:rsidP="006F7AB5">
      <w:pPr>
        <w:pStyle w:val="FINMAGliederungEbene3"/>
      </w:pPr>
      <w:bookmarkStart w:id="41" w:name="_Toc216425790"/>
      <w:r>
        <w:t>Operationelle Risiken im Zusammenhang mit der Übernahme von Emissionen von Finanzinstrumenten und Platzierung</w:t>
      </w:r>
      <w:r w:rsidR="0015284E">
        <w:t>en</w:t>
      </w:r>
      <w:r>
        <w:t xml:space="preserve"> von Finanzinstrumenten mit fester Übernahmeverpflichtung</w:t>
      </w:r>
      <w:r w:rsidR="00543DCA">
        <w:t xml:space="preserve"> (GR-2</w:t>
      </w:r>
      <w:r w:rsidR="00DB5BE8">
        <w:t>3</w:t>
      </w:r>
      <w:r w:rsidR="00543DCA">
        <w:t>)</w:t>
      </w:r>
      <w:bookmarkEnd w:id="41"/>
    </w:p>
    <w:p w14:paraId="1D7F9E2B"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6D466D5A" w14:textId="77777777" w:rsidTr="00DB5BE8">
        <w:trPr>
          <w:trHeight w:val="563"/>
        </w:trPr>
        <w:tc>
          <w:tcPr>
            <w:tcW w:w="1932" w:type="dxa"/>
          </w:tcPr>
          <w:p w14:paraId="43E397C3"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0D41D9E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512007"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7A765056" w14:textId="77777777" w:rsidTr="00DB5BE8">
        <w:trPr>
          <w:trHeight w:val="698"/>
        </w:trPr>
        <w:tc>
          <w:tcPr>
            <w:tcW w:w="1932" w:type="dxa"/>
          </w:tcPr>
          <w:p w14:paraId="41DE1A78" w14:textId="20EDF984"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0AA4258"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EBFC7CB"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E607576"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1587167C"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27986B54" w14:textId="77777777" w:rsidTr="00DB5BE8">
        <w:trPr>
          <w:trHeight w:val="636"/>
        </w:trPr>
        <w:tc>
          <w:tcPr>
            <w:tcW w:w="9180" w:type="dxa"/>
            <w:gridSpan w:val="4"/>
          </w:tcPr>
          <w:p w14:paraId="27F4E369" w14:textId="77777777" w:rsidR="00DB5BE8" w:rsidRDefault="00DB5BE8" w:rsidP="00DB5BE8">
            <w:pPr>
              <w:jc w:val="both"/>
              <w:rPr>
                <w:rFonts w:ascii="Arial" w:hAnsi="Arial" w:cs="Arial"/>
                <w:sz w:val="18"/>
                <w:szCs w:val="18"/>
              </w:rPr>
            </w:pPr>
          </w:p>
          <w:p w14:paraId="78C509D5"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3A1736A7" w14:textId="6180EE9F" w:rsidR="00DB5BE8" w:rsidRPr="009872F3" w:rsidRDefault="00DB5BE8" w:rsidP="00DB5BE8">
            <w:pPr>
              <w:jc w:val="both"/>
              <w:rPr>
                <w:rFonts w:ascii="Arial" w:hAnsi="Arial" w:cs="Arial"/>
                <w:sz w:val="18"/>
                <w:szCs w:val="18"/>
              </w:rPr>
            </w:pPr>
            <w:r w:rsidRPr="00752F45">
              <w:rPr>
                <w:rFonts w:ascii="Arial" w:hAnsi="Arial" w:cs="Arial"/>
                <w:sz w:val="18"/>
                <w:szCs w:val="18"/>
                <w:highlight w:val="yellow"/>
              </w:rPr>
              <w:t>Art. 7</w:t>
            </w:r>
            <w:r w:rsidR="00D408E8" w:rsidRPr="00752F45">
              <w:rPr>
                <w:rFonts w:ascii="Arial" w:hAnsi="Arial" w:cs="Arial"/>
                <w:sz w:val="18"/>
                <w:szCs w:val="18"/>
                <w:highlight w:val="yellow"/>
              </w:rPr>
              <w:t>9</w:t>
            </w:r>
            <w:r w:rsidRPr="00752F45">
              <w:rPr>
                <w:rFonts w:ascii="Arial" w:hAnsi="Arial" w:cs="Arial"/>
                <w:sz w:val="18"/>
                <w:szCs w:val="18"/>
                <w:highlight w:val="yellow"/>
              </w:rPr>
              <w:t xml:space="preserve"> BankG; Art. 2</w:t>
            </w:r>
            <w:r w:rsidR="00D408E8" w:rsidRPr="00752F45">
              <w:rPr>
                <w:rFonts w:ascii="Arial" w:hAnsi="Arial" w:cs="Arial"/>
                <w:sz w:val="18"/>
                <w:szCs w:val="18"/>
                <w:highlight w:val="yellow"/>
              </w:rPr>
              <w:t>3</w:t>
            </w:r>
            <w:r w:rsidRPr="00752F45">
              <w:rPr>
                <w:rFonts w:ascii="Arial" w:hAnsi="Arial" w:cs="Arial"/>
                <w:sz w:val="18"/>
                <w:szCs w:val="18"/>
                <w:highlight w:val="yellow"/>
              </w:rPr>
              <w:t xml:space="preserve"> BankV; </w:t>
            </w:r>
            <w:r w:rsidR="00752F45" w:rsidRPr="000718F2">
              <w:rPr>
                <w:rFonts w:ascii="Arial" w:hAnsi="Arial" w:cs="Arial"/>
                <w:sz w:val="18"/>
                <w:szCs w:val="18"/>
                <w:highlight w:val="yellow"/>
              </w:rPr>
              <w:t xml:space="preserve">Art. </w:t>
            </w:r>
            <w:r w:rsidR="00752F45" w:rsidRPr="00A938AE">
              <w:rPr>
                <w:rFonts w:ascii="Arial" w:hAnsi="Arial" w:cs="Arial"/>
                <w:sz w:val="18"/>
                <w:szCs w:val="18"/>
                <w:highlight w:val="yellow"/>
              </w:rPr>
              <w:t xml:space="preserve">16 BankV,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DB5BE8" w:rsidRPr="009872F3" w14:paraId="2889F6F0" w14:textId="77777777" w:rsidTr="00DB5BE8">
        <w:trPr>
          <w:trHeight w:val="294"/>
        </w:trPr>
        <w:tc>
          <w:tcPr>
            <w:tcW w:w="9180" w:type="dxa"/>
            <w:gridSpan w:val="4"/>
          </w:tcPr>
          <w:p w14:paraId="1D5A3402" w14:textId="77777777" w:rsidR="00DB5BE8" w:rsidRPr="009872F3" w:rsidRDefault="00DB5BE8" w:rsidP="00DB5BE8">
            <w:pPr>
              <w:jc w:val="both"/>
              <w:rPr>
                <w:rFonts w:ascii="Arial" w:hAnsi="Arial" w:cs="Arial"/>
                <w:sz w:val="18"/>
                <w:szCs w:val="18"/>
              </w:rPr>
            </w:pPr>
          </w:p>
        </w:tc>
      </w:tr>
      <w:tr w:rsidR="00DB5BE8" w:rsidRPr="009872F3" w14:paraId="1A89A34F" w14:textId="77777777" w:rsidTr="00DB5BE8">
        <w:tc>
          <w:tcPr>
            <w:tcW w:w="5798" w:type="dxa"/>
            <w:gridSpan w:val="3"/>
          </w:tcPr>
          <w:p w14:paraId="4FD3103B" w14:textId="5B735B8D"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perationellen Risiken im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 </w:t>
            </w:r>
            <w:r w:rsidRPr="00C1307E">
              <w:rPr>
                <w:rFonts w:ascii="Arial" w:hAnsi="Arial" w:cs="Arial"/>
                <w:sz w:val="18"/>
                <w:szCs w:val="18"/>
              </w:rPr>
              <w:t>angemessen ausgestaltet ist.</w:t>
            </w:r>
          </w:p>
        </w:tc>
        <w:tc>
          <w:tcPr>
            <w:tcW w:w="3382" w:type="dxa"/>
          </w:tcPr>
          <w:p w14:paraId="6F22865D"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38890BB8" w14:textId="77777777" w:rsidTr="00DB5BE8">
        <w:tc>
          <w:tcPr>
            <w:tcW w:w="5798" w:type="dxa"/>
            <w:gridSpan w:val="3"/>
          </w:tcPr>
          <w:p w14:paraId="2D4ADB8D" w14:textId="5DA48268"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perationellen Risiken im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BD57F80"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779FD6CE" w14:textId="77777777" w:rsidTr="00DB5BE8">
        <w:tc>
          <w:tcPr>
            <w:tcW w:w="5798" w:type="dxa"/>
            <w:gridSpan w:val="3"/>
          </w:tcPr>
          <w:p w14:paraId="7C9370D9" w14:textId="0B2BB90F" w:rsidR="00DB5BE8" w:rsidRPr="00C1307E" w:rsidRDefault="00DB5BE8" w:rsidP="0015284E">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Operationellen Risiken Zusammenhang mit der Übernahme von Emissionen von Finanzinstrumenten und Platzierung</w:t>
            </w:r>
            <w:r w:rsidR="0015284E">
              <w:rPr>
                <w:rFonts w:ascii="Arial" w:hAnsi="Arial" w:cs="Arial"/>
                <w:sz w:val="18"/>
                <w:szCs w:val="18"/>
              </w:rPr>
              <w:t>en</w:t>
            </w:r>
            <w:r>
              <w:rPr>
                <w:rFonts w:ascii="Arial" w:hAnsi="Arial" w:cs="Arial"/>
                <w:sz w:val="18"/>
                <w:szCs w:val="18"/>
              </w:rPr>
              <w:t xml:space="preserve"> von Finanzinstrumenten mit fester Übernahmeverpflichtung</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F5D4153"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4A008BE1"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13673225" w14:textId="77777777" w:rsidTr="00DB5BE8">
        <w:tc>
          <w:tcPr>
            <w:tcW w:w="2660" w:type="dxa"/>
          </w:tcPr>
          <w:p w14:paraId="12031813"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BBF4282"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70E9275C" w14:textId="77777777" w:rsidTr="00DB5BE8">
        <w:tc>
          <w:tcPr>
            <w:tcW w:w="2660" w:type="dxa"/>
          </w:tcPr>
          <w:p w14:paraId="78FB82C4"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63D4846C" w14:textId="77777777" w:rsidR="0050402B" w:rsidRDefault="0050402B" w:rsidP="0050402B">
            <w:pPr>
              <w:jc w:val="both"/>
              <w:rPr>
                <w:rFonts w:ascii="Arial" w:hAnsi="Arial" w:cs="Arial"/>
                <w:i/>
                <w:sz w:val="20"/>
                <w:szCs w:val="20"/>
                <w:highlight w:val="lightGray"/>
              </w:rPr>
            </w:pPr>
          </w:p>
          <w:p w14:paraId="6AE920BD"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C99D60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4B42BE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F04E53C" w14:textId="0E5E6E21"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9DAD7A2"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6B8F3B77"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769F869" w14:textId="77777777" w:rsidTr="00DB5BE8">
        <w:tc>
          <w:tcPr>
            <w:tcW w:w="2660" w:type="dxa"/>
          </w:tcPr>
          <w:p w14:paraId="3B97DA40"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4B9C9D65" w14:textId="77777777" w:rsidR="0074539F" w:rsidRPr="00CE3194" w:rsidRDefault="0074539F" w:rsidP="00DB5BE8">
            <w:pPr>
              <w:jc w:val="both"/>
              <w:rPr>
                <w:rFonts w:ascii="Arial" w:hAnsi="Arial" w:cs="Arial"/>
                <w:i/>
                <w:sz w:val="20"/>
                <w:szCs w:val="20"/>
                <w:highlight w:val="lightGray"/>
              </w:rPr>
            </w:pPr>
          </w:p>
        </w:tc>
        <w:tc>
          <w:tcPr>
            <w:tcW w:w="6520" w:type="dxa"/>
          </w:tcPr>
          <w:p w14:paraId="524F04DB" w14:textId="2A4F380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3C7A253E" w14:textId="57B3A43B"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4F393A4" w14:textId="21B046C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F73C56E"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0CE97C56" w14:textId="77777777" w:rsidTr="00DB5BE8">
        <w:tc>
          <w:tcPr>
            <w:tcW w:w="2660" w:type="dxa"/>
          </w:tcPr>
          <w:p w14:paraId="576B99E7"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5FC10E1" w14:textId="2A667E06"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4220590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E048B2E"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3F5C468B"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7625344"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lastRenderedPageBreak/>
              <w:t>Das Limitwesen ist konsistent mit den Indikatoren der Sanierungsplanung</w:t>
            </w:r>
          </w:p>
          <w:p w14:paraId="520B0C73" w14:textId="3C265950"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w:t>
            </w:r>
            <w:r w:rsidRPr="00A938AE">
              <w:rPr>
                <w:rFonts w:cs="Arial"/>
                <w:i/>
                <w:szCs w:val="20"/>
                <w:highlight w:val="lightGray"/>
              </w:rPr>
              <w:t xml:space="preserve">in die Gesamtrisikotragfähigkeit der </w:t>
            </w:r>
            <w:r w:rsidR="00EA5362" w:rsidRPr="00A938AE">
              <w:rPr>
                <w:rFonts w:cs="Arial"/>
                <w:i/>
                <w:szCs w:val="20"/>
                <w:highlight w:val="lightGray"/>
              </w:rPr>
              <w:t xml:space="preserve">Bank bzw. der Gruppe </w:t>
            </w:r>
            <w:r w:rsidRPr="00A938AE">
              <w:rPr>
                <w:rFonts w:cs="Arial"/>
                <w:i/>
                <w:szCs w:val="20"/>
                <w:highlight w:val="lightGray"/>
              </w:rPr>
              <w:t>mit ein</w:t>
            </w:r>
            <w:r w:rsidR="00380AE2" w:rsidRPr="00A938AE">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74539993" w14:textId="77777777" w:rsidR="00DB5BE8" w:rsidRDefault="00DB5BE8" w:rsidP="00CB3EE6">
      <w:pPr>
        <w:jc w:val="both"/>
        <w:rPr>
          <w:rFonts w:cs="Arial"/>
          <w:szCs w:val="20"/>
        </w:rPr>
      </w:pPr>
    </w:p>
    <w:p w14:paraId="46378E4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C5AB0AE" w14:textId="77777777" w:rsidR="00E70DF4" w:rsidRDefault="00E70DF4" w:rsidP="00CB3EE6">
      <w:pPr>
        <w:jc w:val="both"/>
        <w:rPr>
          <w:rFonts w:cs="Arial"/>
          <w:szCs w:val="20"/>
        </w:rPr>
      </w:pPr>
    </w:p>
    <w:p w14:paraId="1E38F075" w14:textId="77777777" w:rsidR="00DB5BE8" w:rsidRPr="006730AC" w:rsidRDefault="00DB5BE8" w:rsidP="00CB3EE6">
      <w:pPr>
        <w:jc w:val="both"/>
        <w:rPr>
          <w:rFonts w:cs="Arial"/>
          <w:szCs w:val="20"/>
        </w:rPr>
      </w:pPr>
    </w:p>
    <w:p w14:paraId="096D8BE7" w14:textId="77777777" w:rsidR="006067FE" w:rsidRPr="006730AC" w:rsidRDefault="008C30D1" w:rsidP="006F7AB5">
      <w:pPr>
        <w:pStyle w:val="FINMAGliederungEbene3"/>
      </w:pPr>
      <w:bookmarkStart w:id="42" w:name="_Toc216425791"/>
      <w:r>
        <w:t>Operationelle Risiken im Zusammenhang mit dem Zahlungsverkehr</w:t>
      </w:r>
      <w:r w:rsidR="00543DCA">
        <w:t xml:space="preserve"> (GR-2</w:t>
      </w:r>
      <w:r w:rsidR="00DB5BE8">
        <w:t>4</w:t>
      </w:r>
      <w:r w:rsidR="00543DCA">
        <w:t>)</w:t>
      </w:r>
      <w:bookmarkEnd w:id="42"/>
    </w:p>
    <w:p w14:paraId="4A9CD6C3" w14:textId="77777777" w:rsidR="00DB5BE8" w:rsidRDefault="00DB5BE8"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DB5BE8" w:rsidRPr="009872F3" w14:paraId="0CC05644" w14:textId="77777777" w:rsidTr="00DB5BE8">
        <w:trPr>
          <w:trHeight w:val="563"/>
        </w:trPr>
        <w:tc>
          <w:tcPr>
            <w:tcW w:w="1932" w:type="dxa"/>
          </w:tcPr>
          <w:p w14:paraId="7DE7D95E"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28AE5E2"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A1D6F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DB5BE8" w:rsidRPr="009872F3" w14:paraId="59E88AA1" w14:textId="77777777" w:rsidTr="00DB5BE8">
        <w:trPr>
          <w:trHeight w:val="698"/>
        </w:trPr>
        <w:tc>
          <w:tcPr>
            <w:tcW w:w="1932" w:type="dxa"/>
          </w:tcPr>
          <w:p w14:paraId="49BA1956" w14:textId="6489F00D"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36ADFA6" w14:textId="77777777" w:rsidR="00DB5BE8" w:rsidRPr="006749F0" w:rsidRDefault="00DB5BE8"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61289E5" w14:textId="77777777" w:rsidR="00DB5BE8" w:rsidRPr="009872F3" w:rsidRDefault="00DB5BE8"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040DE94" w14:textId="77777777" w:rsidR="00DB5BE8" w:rsidRDefault="00DB5BE8"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3A772B6" w14:textId="77777777" w:rsidR="00DB5BE8" w:rsidRPr="006749F0" w:rsidRDefault="00DB5BE8" w:rsidP="00DB5BE8">
            <w:pPr>
              <w:jc w:val="both"/>
              <w:rPr>
                <w:rFonts w:ascii="Arial" w:hAnsi="Arial" w:cs="Arial"/>
                <w:i/>
                <w:sz w:val="18"/>
                <w:szCs w:val="18"/>
              </w:rPr>
            </w:pPr>
            <w:r w:rsidRPr="006749F0">
              <w:rPr>
                <w:rFonts w:ascii="Arial" w:hAnsi="Arial" w:cs="Arial"/>
                <w:i/>
                <w:sz w:val="18"/>
                <w:szCs w:val="18"/>
                <w:highlight w:val="yellow"/>
              </w:rPr>
              <w:t>Jahr</w:t>
            </w:r>
          </w:p>
        </w:tc>
      </w:tr>
      <w:tr w:rsidR="00DB5BE8" w:rsidRPr="009872F3" w14:paraId="7CB23BF7" w14:textId="77777777" w:rsidTr="00DB5BE8">
        <w:trPr>
          <w:trHeight w:val="636"/>
        </w:trPr>
        <w:tc>
          <w:tcPr>
            <w:tcW w:w="9180" w:type="dxa"/>
            <w:gridSpan w:val="4"/>
          </w:tcPr>
          <w:p w14:paraId="491B3AE6" w14:textId="77777777" w:rsidR="00DB5BE8" w:rsidRDefault="00DB5BE8" w:rsidP="00DB5BE8">
            <w:pPr>
              <w:jc w:val="both"/>
              <w:rPr>
                <w:rFonts w:ascii="Arial" w:hAnsi="Arial" w:cs="Arial"/>
                <w:sz w:val="18"/>
                <w:szCs w:val="18"/>
              </w:rPr>
            </w:pPr>
          </w:p>
          <w:p w14:paraId="34AF5F6C" w14:textId="77777777" w:rsidR="00DB5BE8" w:rsidRDefault="00DB5BE8" w:rsidP="00DB5BE8">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46EC9238" w14:textId="287E5C09" w:rsidR="00DB5BE8" w:rsidRPr="009872F3" w:rsidRDefault="00DB5BE8" w:rsidP="00DB5BE8">
            <w:pPr>
              <w:jc w:val="both"/>
              <w:rPr>
                <w:rFonts w:ascii="Arial" w:hAnsi="Arial" w:cs="Arial"/>
                <w:sz w:val="18"/>
                <w:szCs w:val="18"/>
              </w:rPr>
            </w:pPr>
            <w:r w:rsidRPr="00CB3EE6">
              <w:rPr>
                <w:rFonts w:ascii="Arial" w:hAnsi="Arial" w:cs="Arial"/>
                <w:sz w:val="18"/>
                <w:szCs w:val="18"/>
                <w:highlight w:val="yellow"/>
              </w:rPr>
              <w:t>Art. 7</w:t>
            </w:r>
            <w:r w:rsidR="00D408E8">
              <w:rPr>
                <w:rFonts w:ascii="Arial" w:hAnsi="Arial" w:cs="Arial"/>
                <w:sz w:val="18"/>
                <w:szCs w:val="18"/>
                <w:highlight w:val="yellow"/>
              </w:rPr>
              <w:t>9</w:t>
            </w:r>
            <w:r w:rsidRPr="00CB3EE6">
              <w:rPr>
                <w:rFonts w:ascii="Arial" w:hAnsi="Arial" w:cs="Arial"/>
                <w:sz w:val="18"/>
                <w:szCs w:val="18"/>
                <w:highlight w:val="yellow"/>
              </w:rPr>
              <w:t xml:space="preserve"> BankG; Art. 2</w:t>
            </w:r>
            <w:r w:rsidR="00D408E8">
              <w:rPr>
                <w:rFonts w:ascii="Arial" w:hAnsi="Arial" w:cs="Arial"/>
                <w:sz w:val="18"/>
                <w:szCs w:val="18"/>
                <w:highlight w:val="yellow"/>
              </w:rPr>
              <w:t>3</w:t>
            </w:r>
            <w:r w:rsidRPr="00CB3EE6">
              <w:rPr>
                <w:rFonts w:ascii="Arial" w:hAnsi="Arial" w:cs="Arial"/>
                <w:sz w:val="18"/>
                <w:szCs w:val="18"/>
                <w:highlight w:val="yellow"/>
              </w:rPr>
              <w:t xml:space="preserve"> BankV;</w:t>
            </w:r>
            <w:r w:rsidR="00752F45" w:rsidRPr="00CB3EE6">
              <w:rPr>
                <w:rFonts w:ascii="Arial" w:hAnsi="Arial" w:cs="Arial"/>
                <w:sz w:val="18"/>
                <w:szCs w:val="18"/>
                <w:highlight w:val="yellow"/>
              </w:rPr>
              <w:t xml:space="preserve"> </w:t>
            </w:r>
            <w:r w:rsidR="00752F45" w:rsidRPr="00752F45">
              <w:rPr>
                <w:rFonts w:ascii="Arial" w:hAnsi="Arial" w:cs="Arial"/>
                <w:sz w:val="18"/>
                <w:szCs w:val="18"/>
                <w:highlight w:val="yellow"/>
              </w:rPr>
              <w:t>Art.</w:t>
            </w:r>
            <w:r w:rsidR="00752F45" w:rsidRPr="002A1419">
              <w:rPr>
                <w:rFonts w:ascii="Arial" w:hAnsi="Arial" w:cs="Arial"/>
                <w:sz w:val="18"/>
                <w:szCs w:val="18"/>
                <w:highlight w:val="yellow"/>
              </w:rPr>
              <w:t xml:space="preserve"> 1</w:t>
            </w:r>
            <w:r w:rsidR="00752F45">
              <w:rPr>
                <w:rFonts w:ascii="Arial" w:hAnsi="Arial" w:cs="Arial"/>
                <w:sz w:val="18"/>
                <w:szCs w:val="18"/>
                <w:highlight w:val="yellow"/>
              </w:rPr>
              <w:t xml:space="preserve">6 BankV,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DB5BE8" w:rsidRPr="009872F3" w14:paraId="6C5580AC" w14:textId="77777777" w:rsidTr="00DB5BE8">
        <w:trPr>
          <w:trHeight w:val="294"/>
        </w:trPr>
        <w:tc>
          <w:tcPr>
            <w:tcW w:w="9180" w:type="dxa"/>
            <w:gridSpan w:val="4"/>
          </w:tcPr>
          <w:p w14:paraId="5CB379D3" w14:textId="77777777" w:rsidR="00DB5BE8" w:rsidRPr="009872F3" w:rsidRDefault="00DB5BE8" w:rsidP="00DB5BE8">
            <w:pPr>
              <w:jc w:val="both"/>
              <w:rPr>
                <w:rFonts w:ascii="Arial" w:hAnsi="Arial" w:cs="Arial"/>
                <w:sz w:val="18"/>
                <w:szCs w:val="18"/>
              </w:rPr>
            </w:pPr>
          </w:p>
        </w:tc>
      </w:tr>
      <w:tr w:rsidR="00DB5BE8" w:rsidRPr="009872F3" w14:paraId="2492C2B6" w14:textId="77777777" w:rsidTr="00DB5BE8">
        <w:tc>
          <w:tcPr>
            <w:tcW w:w="5798" w:type="dxa"/>
            <w:gridSpan w:val="3"/>
          </w:tcPr>
          <w:p w14:paraId="27362B57" w14:textId="27672FCB" w:rsidR="00DB5BE8" w:rsidRPr="00C1307E" w:rsidRDefault="00DB5BE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15284E">
              <w:rPr>
                <w:rFonts w:ascii="Arial" w:hAnsi="Arial" w:cs="Arial"/>
                <w:sz w:val="18"/>
                <w:szCs w:val="18"/>
              </w:rPr>
              <w:t>o</w:t>
            </w:r>
            <w:r>
              <w:rPr>
                <w:rFonts w:ascii="Arial" w:hAnsi="Arial" w:cs="Arial"/>
                <w:sz w:val="18"/>
                <w:szCs w:val="18"/>
              </w:rPr>
              <w:t xml:space="preserve">perationellen Risiken im Zusammenhang mit dem Zahlungsverkehr </w:t>
            </w:r>
            <w:r w:rsidRPr="00C1307E">
              <w:rPr>
                <w:rFonts w:ascii="Arial" w:hAnsi="Arial" w:cs="Arial"/>
                <w:sz w:val="18"/>
                <w:szCs w:val="18"/>
              </w:rPr>
              <w:t>angemessen ausgestaltet ist.</w:t>
            </w:r>
          </w:p>
        </w:tc>
        <w:tc>
          <w:tcPr>
            <w:tcW w:w="3382" w:type="dxa"/>
          </w:tcPr>
          <w:p w14:paraId="64296EF6" w14:textId="77777777" w:rsidR="00DB5BE8" w:rsidRPr="00E109DF" w:rsidRDefault="00DB5BE8"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598EFD5" w14:textId="77777777" w:rsidTr="00DB5BE8">
        <w:tc>
          <w:tcPr>
            <w:tcW w:w="5798" w:type="dxa"/>
            <w:gridSpan w:val="3"/>
          </w:tcPr>
          <w:p w14:paraId="2D4496D0" w14:textId="3CA15331"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15284E">
              <w:rPr>
                <w:rFonts w:ascii="Arial" w:hAnsi="Arial" w:cs="Arial"/>
                <w:sz w:val="18"/>
                <w:szCs w:val="18"/>
              </w:rPr>
              <w:t>o</w:t>
            </w:r>
            <w:r>
              <w:rPr>
                <w:rFonts w:ascii="Arial" w:hAnsi="Arial" w:cs="Arial"/>
                <w:sz w:val="18"/>
                <w:szCs w:val="18"/>
              </w:rPr>
              <w:t>perationellen Risiken im Zusammenhang mit dem Zahlungsverkehr</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B5A631C"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B5BE8" w:rsidRPr="009872F3" w14:paraId="1FAD6EC1" w14:textId="77777777" w:rsidTr="00DB5BE8">
        <w:tc>
          <w:tcPr>
            <w:tcW w:w="5798" w:type="dxa"/>
            <w:gridSpan w:val="3"/>
          </w:tcPr>
          <w:p w14:paraId="27357CDF" w14:textId="14014D7A" w:rsidR="00DB5BE8" w:rsidRPr="00C1307E" w:rsidRDefault="00DB5BE8"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15284E">
              <w:rPr>
                <w:rFonts w:ascii="Arial" w:hAnsi="Arial" w:cs="Arial"/>
                <w:sz w:val="18"/>
                <w:szCs w:val="18"/>
              </w:rPr>
              <w:t>o</w:t>
            </w:r>
            <w:r>
              <w:rPr>
                <w:rFonts w:ascii="Arial" w:hAnsi="Arial" w:cs="Arial"/>
                <w:sz w:val="18"/>
                <w:szCs w:val="18"/>
              </w:rPr>
              <w:t>perationellen Risiken im Zusammenhang mit dem Zahlungsverkehr</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A043D38" w14:textId="77777777" w:rsidR="00DB5BE8" w:rsidRPr="009872F3" w:rsidRDefault="00DB5BE8"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7E9AAF" w14:textId="77777777" w:rsidR="00DB5BE8" w:rsidRPr="00CE3194" w:rsidRDefault="00DB5BE8" w:rsidP="00DB5BE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DB5BE8" w:rsidRPr="00CE3194" w14:paraId="443E6D56" w14:textId="77777777" w:rsidTr="00DB5BE8">
        <w:tc>
          <w:tcPr>
            <w:tcW w:w="2660" w:type="dxa"/>
          </w:tcPr>
          <w:p w14:paraId="23010ABC"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A059BFF" w14:textId="77777777" w:rsidR="00DB5BE8" w:rsidRPr="00CE3194" w:rsidRDefault="00DB5BE8"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DB5BE8" w:rsidRPr="00CE3194" w14:paraId="52D82732" w14:textId="77777777" w:rsidTr="00DB5BE8">
        <w:tc>
          <w:tcPr>
            <w:tcW w:w="2660" w:type="dxa"/>
          </w:tcPr>
          <w:p w14:paraId="29F56512" w14:textId="77777777" w:rsidR="0050402B" w:rsidRDefault="0050402B" w:rsidP="0050402B">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6331B6F" w14:textId="77777777" w:rsidR="0050402B" w:rsidRDefault="0050402B" w:rsidP="0050402B">
            <w:pPr>
              <w:jc w:val="both"/>
              <w:rPr>
                <w:rFonts w:ascii="Arial" w:hAnsi="Arial" w:cs="Arial"/>
                <w:i/>
                <w:sz w:val="20"/>
                <w:szCs w:val="20"/>
                <w:highlight w:val="lightGray"/>
              </w:rPr>
            </w:pPr>
          </w:p>
          <w:p w14:paraId="31B05E7F" w14:textId="77777777" w:rsidR="00DB5BE8" w:rsidRPr="00511890" w:rsidRDefault="0050402B" w:rsidP="0050402B">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625FA9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A0A4AA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7DE57BC" w14:textId="0297DD85"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37D89F30"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C5FD0C1"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00000669" w14:textId="77777777" w:rsidTr="00DB5BE8">
        <w:tc>
          <w:tcPr>
            <w:tcW w:w="2660" w:type="dxa"/>
          </w:tcPr>
          <w:p w14:paraId="49649403"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28F11AE" w14:textId="77777777" w:rsidR="0074539F" w:rsidRPr="00CE3194" w:rsidRDefault="0074539F" w:rsidP="00DB5BE8">
            <w:pPr>
              <w:jc w:val="both"/>
              <w:rPr>
                <w:rFonts w:ascii="Arial" w:hAnsi="Arial" w:cs="Arial"/>
                <w:i/>
                <w:sz w:val="20"/>
                <w:szCs w:val="20"/>
                <w:highlight w:val="lightGray"/>
              </w:rPr>
            </w:pPr>
          </w:p>
        </w:tc>
        <w:tc>
          <w:tcPr>
            <w:tcW w:w="6520" w:type="dxa"/>
          </w:tcPr>
          <w:p w14:paraId="35A60AD7" w14:textId="129D8C7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3DFAB0A6" w14:textId="1719E4A7"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557A246" w14:textId="57658A0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DF94CB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DB5BE8" w14:paraId="1DBD4EB9" w14:textId="77777777" w:rsidTr="00DB5BE8">
        <w:tc>
          <w:tcPr>
            <w:tcW w:w="2660" w:type="dxa"/>
          </w:tcPr>
          <w:p w14:paraId="1C029109" w14:textId="77777777" w:rsidR="00DB5BE8" w:rsidRDefault="00DB5BE8" w:rsidP="00DB5BE8">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2982C42A" w14:textId="6EA9DAE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18AC41DF"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367CDD9"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050BC65" w14:textId="77777777" w:rsidR="00DB5BE8" w:rsidRPr="00CE3194" w:rsidRDefault="00DB5BE8"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FEA7982" w14:textId="77777777" w:rsidR="00DB5BE8" w:rsidRPr="005B66F8" w:rsidRDefault="00DB5BE8"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458623C" w14:textId="4122070C"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EA5362" w:rsidRPr="00055C14">
              <w:rPr>
                <w:rFonts w:cs="Arial"/>
                <w:i/>
                <w:szCs w:val="20"/>
                <w:highlight w:val="lightGray"/>
              </w:rPr>
              <w:t>Bank</w:t>
            </w:r>
            <w:r w:rsidR="00EA5362">
              <w:rPr>
                <w:rFonts w:cs="Arial"/>
                <w:i/>
                <w:szCs w:val="20"/>
                <w:highlight w:val="lightGray"/>
              </w:rPr>
              <w:t xml:space="preserve"> bzw. der Gruppe</w:t>
            </w:r>
            <w:r w:rsidR="00EA5362"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0281C828" w14:textId="77777777" w:rsidR="00DB5BE8" w:rsidRDefault="00DB5BE8" w:rsidP="00CB3EE6">
      <w:pPr>
        <w:jc w:val="both"/>
        <w:rPr>
          <w:rFonts w:cs="Arial"/>
          <w:szCs w:val="20"/>
        </w:rPr>
      </w:pPr>
    </w:p>
    <w:p w14:paraId="47E85BCE"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3816CD4C" w14:textId="148310C2" w:rsidR="00E70DF4" w:rsidRDefault="00E70DF4" w:rsidP="00CB3EE6">
      <w:pPr>
        <w:jc w:val="both"/>
        <w:rPr>
          <w:rFonts w:cs="Arial"/>
          <w:szCs w:val="20"/>
        </w:rPr>
      </w:pPr>
    </w:p>
    <w:p w14:paraId="03268CAA" w14:textId="77777777" w:rsidR="00A938AE" w:rsidRDefault="00A938AE" w:rsidP="00CB3EE6">
      <w:pPr>
        <w:jc w:val="both"/>
        <w:rPr>
          <w:rFonts w:cs="Arial"/>
          <w:szCs w:val="20"/>
        </w:rPr>
      </w:pPr>
    </w:p>
    <w:p w14:paraId="5E7A3653" w14:textId="7F4A6148" w:rsidR="008C30D1" w:rsidRPr="006730AC" w:rsidRDefault="008C30D1" w:rsidP="006F7AB5">
      <w:pPr>
        <w:pStyle w:val="FINMAGliederungEbene3"/>
      </w:pPr>
      <w:bookmarkStart w:id="43" w:name="_Toc216425792"/>
      <w:r>
        <w:t>Operationelle Risiken: Rechts- und Prozessrisiken inkl. Kundenbeschwerden</w:t>
      </w:r>
      <w:r w:rsidR="00543DCA">
        <w:t xml:space="preserve"> (GR-2</w:t>
      </w:r>
      <w:r w:rsidR="00287F87">
        <w:t>5</w:t>
      </w:r>
      <w:r w:rsidR="00543DCA">
        <w:t>)</w:t>
      </w:r>
      <w:bookmarkEnd w:id="43"/>
    </w:p>
    <w:p w14:paraId="1182F0D6"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95664" w:rsidRPr="009872F3" w14:paraId="746E2C9B" w14:textId="77777777" w:rsidTr="0036650A">
        <w:trPr>
          <w:trHeight w:val="563"/>
        </w:trPr>
        <w:tc>
          <w:tcPr>
            <w:tcW w:w="1932" w:type="dxa"/>
          </w:tcPr>
          <w:p w14:paraId="675DFDAF"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BDA0868"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6812B7E"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95664" w:rsidRPr="009872F3" w14:paraId="3008729D" w14:textId="77777777" w:rsidTr="0036650A">
        <w:trPr>
          <w:trHeight w:val="698"/>
        </w:trPr>
        <w:tc>
          <w:tcPr>
            <w:tcW w:w="1932" w:type="dxa"/>
          </w:tcPr>
          <w:p w14:paraId="41B21A1D" w14:textId="3D07A218"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8A0A246" w14:textId="77777777" w:rsidR="00295664" w:rsidRPr="006749F0" w:rsidRDefault="00295664"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57E4C2A" w14:textId="77777777" w:rsidR="00295664" w:rsidRPr="009872F3" w:rsidRDefault="00295664"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93CE750" w14:textId="77777777" w:rsidR="00295664" w:rsidRDefault="00295664"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82ABE0" w14:textId="77777777" w:rsidR="00295664" w:rsidRPr="006749F0" w:rsidRDefault="00295664" w:rsidP="0036650A">
            <w:pPr>
              <w:jc w:val="both"/>
              <w:rPr>
                <w:rFonts w:ascii="Arial" w:hAnsi="Arial" w:cs="Arial"/>
                <w:i/>
                <w:sz w:val="18"/>
                <w:szCs w:val="18"/>
              </w:rPr>
            </w:pPr>
            <w:r w:rsidRPr="006749F0">
              <w:rPr>
                <w:rFonts w:ascii="Arial" w:hAnsi="Arial" w:cs="Arial"/>
                <w:i/>
                <w:sz w:val="18"/>
                <w:szCs w:val="18"/>
                <w:highlight w:val="yellow"/>
              </w:rPr>
              <w:t>Jahr</w:t>
            </w:r>
          </w:p>
        </w:tc>
      </w:tr>
      <w:tr w:rsidR="00295664" w:rsidRPr="009872F3" w14:paraId="489753A6" w14:textId="77777777" w:rsidTr="0036650A">
        <w:trPr>
          <w:trHeight w:val="636"/>
        </w:trPr>
        <w:tc>
          <w:tcPr>
            <w:tcW w:w="9180" w:type="dxa"/>
            <w:gridSpan w:val="4"/>
          </w:tcPr>
          <w:p w14:paraId="4F21BA64" w14:textId="77777777" w:rsidR="00295664" w:rsidRDefault="00295664" w:rsidP="0036650A">
            <w:pPr>
              <w:jc w:val="both"/>
              <w:rPr>
                <w:rFonts w:ascii="Arial" w:hAnsi="Arial" w:cs="Arial"/>
                <w:sz w:val="18"/>
                <w:szCs w:val="18"/>
              </w:rPr>
            </w:pPr>
          </w:p>
          <w:p w14:paraId="5BF86D00" w14:textId="77777777" w:rsidR="00295664" w:rsidRDefault="00295664"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47A72E9" w14:textId="3B33A5E5" w:rsidR="00295664" w:rsidRPr="009872F3" w:rsidRDefault="00295664" w:rsidP="0036650A">
            <w:pPr>
              <w:jc w:val="both"/>
              <w:rPr>
                <w:rFonts w:ascii="Arial" w:hAnsi="Arial" w:cs="Arial"/>
                <w:sz w:val="18"/>
                <w:szCs w:val="18"/>
              </w:rPr>
            </w:pPr>
            <w:r w:rsidRPr="00752F45">
              <w:rPr>
                <w:rFonts w:ascii="Arial" w:hAnsi="Arial" w:cs="Arial"/>
                <w:sz w:val="18"/>
                <w:szCs w:val="18"/>
                <w:highlight w:val="yellow"/>
              </w:rPr>
              <w:t>Art. 7</w:t>
            </w:r>
            <w:r w:rsidR="00CE230D" w:rsidRPr="00752F45">
              <w:rPr>
                <w:rFonts w:ascii="Arial" w:hAnsi="Arial" w:cs="Arial"/>
                <w:sz w:val="18"/>
                <w:szCs w:val="18"/>
                <w:highlight w:val="yellow"/>
              </w:rPr>
              <w:t>9</w:t>
            </w:r>
            <w:r w:rsidRPr="00752F45">
              <w:rPr>
                <w:rFonts w:ascii="Arial" w:hAnsi="Arial" w:cs="Arial"/>
                <w:sz w:val="18"/>
                <w:szCs w:val="18"/>
                <w:highlight w:val="yellow"/>
              </w:rPr>
              <w:t xml:space="preserve"> BankG; Art. 2</w:t>
            </w:r>
            <w:r w:rsidR="001C78E5" w:rsidRPr="00752F45">
              <w:rPr>
                <w:rFonts w:ascii="Arial" w:hAnsi="Arial" w:cs="Arial"/>
                <w:sz w:val="18"/>
                <w:szCs w:val="18"/>
                <w:highlight w:val="yellow"/>
              </w:rPr>
              <w:t>3</w:t>
            </w:r>
            <w:r w:rsidRPr="00752F45">
              <w:rPr>
                <w:rFonts w:ascii="Arial" w:hAnsi="Arial" w:cs="Arial"/>
                <w:sz w:val="18"/>
                <w:szCs w:val="18"/>
                <w:highlight w:val="yellow"/>
              </w:rPr>
              <w:t xml:space="preserve"> BankV;</w:t>
            </w:r>
            <w:r w:rsidR="00752F45" w:rsidRPr="00752F45">
              <w:rPr>
                <w:rFonts w:ascii="Arial" w:hAnsi="Arial" w:cs="Arial"/>
                <w:sz w:val="18"/>
                <w:szCs w:val="18"/>
                <w:highlight w:val="yellow"/>
              </w:rPr>
              <w:t xml:space="preserve"> Art.</w:t>
            </w:r>
            <w:r w:rsidR="00752F45" w:rsidRPr="00A938AE">
              <w:rPr>
                <w:rFonts w:ascii="Arial" w:hAnsi="Arial" w:cs="Arial"/>
                <w:sz w:val="18"/>
                <w:szCs w:val="18"/>
                <w:highlight w:val="yellow"/>
              </w:rPr>
              <w:t xml:space="preserve"> 1</w:t>
            </w:r>
            <w:r w:rsidR="00752F45">
              <w:rPr>
                <w:rFonts w:ascii="Arial" w:hAnsi="Arial" w:cs="Arial"/>
                <w:sz w:val="18"/>
                <w:szCs w:val="18"/>
                <w:highlight w:val="yellow"/>
              </w:rPr>
              <w:t>6 BankV,</w:t>
            </w:r>
            <w:r w:rsidRPr="00752F45">
              <w:rPr>
                <w:rFonts w:ascii="Arial" w:hAnsi="Arial" w:cs="Arial"/>
                <w:sz w:val="18"/>
                <w:szCs w:val="18"/>
                <w:highlight w:val="yellow"/>
              </w:rPr>
              <w:t xml:space="preserve"> </w:t>
            </w:r>
            <w:r w:rsidR="0021306E">
              <w:rPr>
                <w:rFonts w:ascii="Arial" w:hAnsi="Arial" w:cs="Arial"/>
                <w:sz w:val="18"/>
                <w:szCs w:val="18"/>
                <w:highlight w:val="yellow"/>
              </w:rPr>
              <w:t xml:space="preserve">Art. 10-11 BankV, </w:t>
            </w:r>
            <w:r w:rsidRPr="00CB3EE6">
              <w:rPr>
                <w:rFonts w:ascii="Arial" w:hAnsi="Arial" w:cs="Arial"/>
                <w:sz w:val="18"/>
                <w:szCs w:val="18"/>
                <w:highlight w:val="yellow"/>
              </w:rPr>
              <w:t>FMA-Mitteilung 2017/4 (inkl. regulatorische Grundlagen im Anhang), FMA-Mitteilung 2015/2</w:t>
            </w:r>
            <w:r w:rsidR="009E273B">
              <w:rPr>
                <w:rFonts w:ascii="Arial" w:hAnsi="Arial" w:cs="Arial"/>
                <w:sz w:val="18"/>
                <w:szCs w:val="18"/>
                <w:highlight w:val="yellow"/>
              </w:rPr>
              <w:t>; EBA/GL/2021/05</w:t>
            </w:r>
          </w:p>
        </w:tc>
      </w:tr>
      <w:tr w:rsidR="00295664" w:rsidRPr="009872F3" w14:paraId="34CAC201" w14:textId="77777777" w:rsidTr="0036650A">
        <w:trPr>
          <w:trHeight w:val="294"/>
        </w:trPr>
        <w:tc>
          <w:tcPr>
            <w:tcW w:w="9180" w:type="dxa"/>
            <w:gridSpan w:val="4"/>
          </w:tcPr>
          <w:p w14:paraId="7070DC92" w14:textId="77777777" w:rsidR="00295664" w:rsidRPr="009872F3" w:rsidRDefault="00295664" w:rsidP="0036650A">
            <w:pPr>
              <w:jc w:val="both"/>
              <w:rPr>
                <w:rFonts w:ascii="Arial" w:hAnsi="Arial" w:cs="Arial"/>
                <w:sz w:val="18"/>
                <w:szCs w:val="18"/>
              </w:rPr>
            </w:pPr>
          </w:p>
        </w:tc>
      </w:tr>
      <w:tr w:rsidR="00295664" w:rsidRPr="009872F3" w14:paraId="60251949" w14:textId="77777777" w:rsidTr="0036650A">
        <w:tc>
          <w:tcPr>
            <w:tcW w:w="5798" w:type="dxa"/>
            <w:gridSpan w:val="3"/>
          </w:tcPr>
          <w:p w14:paraId="618168AB" w14:textId="4E4A4930" w:rsidR="00295664" w:rsidRPr="00C1307E" w:rsidRDefault="00295664"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00757204">
              <w:rPr>
                <w:rFonts w:ascii="Arial" w:hAnsi="Arial" w:cs="Arial"/>
                <w:sz w:val="18"/>
                <w:szCs w:val="18"/>
              </w:rPr>
              <w:t>o</w:t>
            </w:r>
            <w:r>
              <w:rPr>
                <w:rFonts w:ascii="Arial" w:hAnsi="Arial" w:cs="Arial"/>
                <w:sz w:val="18"/>
                <w:szCs w:val="18"/>
              </w:rPr>
              <w:t xml:space="preserve">perationellen Risiken im Zusammenhang mit Rechts- und Prozessrisiken inkl. Kundenbeschwerden </w:t>
            </w:r>
            <w:r w:rsidRPr="00C1307E">
              <w:rPr>
                <w:rFonts w:ascii="Arial" w:hAnsi="Arial" w:cs="Arial"/>
                <w:sz w:val="18"/>
                <w:szCs w:val="18"/>
              </w:rPr>
              <w:t>angemessen ausgestaltet ist.</w:t>
            </w:r>
          </w:p>
        </w:tc>
        <w:tc>
          <w:tcPr>
            <w:tcW w:w="3382" w:type="dxa"/>
          </w:tcPr>
          <w:p w14:paraId="3C994CD3" w14:textId="77777777" w:rsidR="00295664" w:rsidRPr="00E109DF" w:rsidRDefault="00295664"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4DD71F0A" w14:textId="77777777" w:rsidTr="0036650A">
        <w:tc>
          <w:tcPr>
            <w:tcW w:w="5798" w:type="dxa"/>
            <w:gridSpan w:val="3"/>
          </w:tcPr>
          <w:p w14:paraId="0A47EF2C" w14:textId="12E68D95"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04AF22CF"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95664" w:rsidRPr="009872F3" w14:paraId="02BE7271" w14:textId="77777777" w:rsidTr="0036650A">
        <w:tc>
          <w:tcPr>
            <w:tcW w:w="5798" w:type="dxa"/>
            <w:gridSpan w:val="3"/>
          </w:tcPr>
          <w:p w14:paraId="50CE932E" w14:textId="31D24A1F" w:rsidR="00295664" w:rsidRPr="00C1307E" w:rsidRDefault="00295664"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757204">
              <w:rPr>
                <w:rFonts w:ascii="Arial" w:hAnsi="Arial" w:cs="Arial"/>
                <w:sz w:val="18"/>
                <w:szCs w:val="18"/>
              </w:rPr>
              <w:t>o</w:t>
            </w:r>
            <w:r>
              <w:rPr>
                <w:rFonts w:ascii="Arial" w:hAnsi="Arial" w:cs="Arial"/>
                <w:sz w:val="18"/>
                <w:szCs w:val="18"/>
              </w:rPr>
              <w:t>perationellen Risiken im Zusammenhang mit Rechts- und Prozessrisiken inkl. Kundenbeschwerden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FF12FAB" w14:textId="77777777" w:rsidR="00295664" w:rsidRPr="009872F3" w:rsidRDefault="00295664"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F38F8D2" w14:textId="77777777" w:rsidR="00295664" w:rsidRPr="00CE3194" w:rsidRDefault="00295664" w:rsidP="00295664">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95664" w:rsidRPr="00CE3194" w14:paraId="0B650536" w14:textId="77777777" w:rsidTr="0036650A">
        <w:tc>
          <w:tcPr>
            <w:tcW w:w="2660" w:type="dxa"/>
          </w:tcPr>
          <w:p w14:paraId="27AE6ABB"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9415BA0" w14:textId="77777777" w:rsidR="00295664" w:rsidRPr="00CE3194" w:rsidRDefault="00295664"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95664" w:rsidRPr="00CE3194" w14:paraId="2160D48C" w14:textId="77777777" w:rsidTr="0036650A">
        <w:tc>
          <w:tcPr>
            <w:tcW w:w="2660" w:type="dxa"/>
          </w:tcPr>
          <w:p w14:paraId="3D85944D"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489723D7" w14:textId="77777777" w:rsidR="00D8345E" w:rsidRDefault="00D8345E" w:rsidP="00D8345E">
            <w:pPr>
              <w:jc w:val="both"/>
              <w:rPr>
                <w:rFonts w:ascii="Arial" w:hAnsi="Arial" w:cs="Arial"/>
                <w:i/>
                <w:sz w:val="20"/>
                <w:szCs w:val="20"/>
                <w:highlight w:val="lightGray"/>
              </w:rPr>
            </w:pPr>
          </w:p>
          <w:p w14:paraId="6946CF16" w14:textId="77777777" w:rsidR="00295664"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 xml:space="preserve">(Organisationsstruktur, Verantwortlichkeiten und </w:t>
            </w:r>
            <w:r w:rsidRPr="00667026">
              <w:rPr>
                <w:rFonts w:ascii="Arial" w:hAnsi="Arial" w:cs="Arial"/>
                <w:i/>
                <w:sz w:val="20"/>
                <w:szCs w:val="20"/>
                <w:highlight w:val="lightGray"/>
              </w:rPr>
              <w:lastRenderedPageBreak/>
              <w:t>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C8372F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Es bestehen angemessene Verfahren zur Vermeidung, Reduzierung und Offenlegung von Interessenkonflikten;</w:t>
            </w:r>
          </w:p>
          <w:p w14:paraId="39DEE7E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773E8F4" w14:textId="5BC76175"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4BCB686"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6B32360"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320A47C" w14:textId="77777777" w:rsidTr="0036650A">
        <w:tc>
          <w:tcPr>
            <w:tcW w:w="2660" w:type="dxa"/>
          </w:tcPr>
          <w:p w14:paraId="1AC6BAF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54FEF00A" w14:textId="77777777" w:rsidR="0074539F" w:rsidRPr="00CE3194" w:rsidRDefault="0074539F" w:rsidP="0036650A">
            <w:pPr>
              <w:jc w:val="both"/>
              <w:rPr>
                <w:rFonts w:ascii="Arial" w:hAnsi="Arial" w:cs="Arial"/>
                <w:i/>
                <w:sz w:val="20"/>
                <w:szCs w:val="20"/>
                <w:highlight w:val="lightGray"/>
              </w:rPr>
            </w:pPr>
          </w:p>
        </w:tc>
        <w:tc>
          <w:tcPr>
            <w:tcW w:w="6520" w:type="dxa"/>
          </w:tcPr>
          <w:p w14:paraId="534BA1D3" w14:textId="47701476"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178BEE9A" w14:textId="0AF2A531"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E4D4057" w14:textId="19B7FA8E"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4AA44DD"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95664" w14:paraId="687D45F2" w14:textId="77777777" w:rsidTr="0036650A">
        <w:tc>
          <w:tcPr>
            <w:tcW w:w="2660" w:type="dxa"/>
          </w:tcPr>
          <w:p w14:paraId="0652E67E" w14:textId="77777777" w:rsidR="00295664" w:rsidRDefault="00295664"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5612127" w14:textId="7AC156C8"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6A41A38A"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32BE52F"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604262B" w14:textId="77777777" w:rsidR="00295664" w:rsidRPr="00CE3194" w:rsidRDefault="00295664"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1FBAF69" w14:textId="77777777" w:rsidR="00295664" w:rsidRPr="005B66F8" w:rsidRDefault="00295664"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839479E" w14:textId="31CDDDA4"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p>
        </w:tc>
      </w:tr>
    </w:tbl>
    <w:p w14:paraId="28F1550B" w14:textId="77777777" w:rsidR="00295664" w:rsidRDefault="00295664" w:rsidP="00CB3EE6">
      <w:pPr>
        <w:jc w:val="both"/>
        <w:rPr>
          <w:rFonts w:cs="Arial"/>
          <w:szCs w:val="20"/>
        </w:rPr>
      </w:pPr>
    </w:p>
    <w:p w14:paraId="4D5851B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0431D8A" w14:textId="77777777" w:rsidR="00E70DF4" w:rsidRDefault="00E70DF4" w:rsidP="00CB3EE6">
      <w:pPr>
        <w:jc w:val="both"/>
        <w:rPr>
          <w:rFonts w:cs="Arial"/>
          <w:szCs w:val="20"/>
        </w:rPr>
      </w:pPr>
    </w:p>
    <w:p w14:paraId="39D104FC" w14:textId="77777777" w:rsidR="00E70DF4" w:rsidRPr="006730AC" w:rsidRDefault="00E70DF4" w:rsidP="00CB3EE6">
      <w:pPr>
        <w:jc w:val="both"/>
        <w:rPr>
          <w:rFonts w:cs="Arial"/>
          <w:szCs w:val="20"/>
        </w:rPr>
      </w:pPr>
    </w:p>
    <w:p w14:paraId="22B906D3" w14:textId="7EC06346" w:rsidR="008C30D1" w:rsidRPr="006730AC" w:rsidRDefault="00757204" w:rsidP="006F7AB5">
      <w:pPr>
        <w:pStyle w:val="FINMAGliederungEbene3"/>
      </w:pPr>
      <w:bookmarkStart w:id="44" w:name="_Toc216425793"/>
      <w:r w:rsidRPr="006634A7">
        <w:rPr>
          <w:highlight w:val="yellow"/>
        </w:rPr>
        <w:t>[</w:t>
      </w:r>
      <w:r w:rsidR="008C30D1" w:rsidRPr="006634A7">
        <w:rPr>
          <w:highlight w:val="yellow"/>
        </w:rPr>
        <w:t xml:space="preserve">Weitere Operationelle Risiken von der </w:t>
      </w:r>
      <w:r w:rsidR="009F1ACA" w:rsidRPr="00A938AE">
        <w:rPr>
          <w:highlight w:val="yellow"/>
        </w:rPr>
        <w:t>Revisionsstelle</w:t>
      </w:r>
      <w:r w:rsidR="008C30D1" w:rsidRPr="006634A7">
        <w:rPr>
          <w:highlight w:val="yellow"/>
        </w:rPr>
        <w:t xml:space="preserve"> selber zu definieren</w:t>
      </w:r>
      <w:r w:rsidRPr="006634A7">
        <w:rPr>
          <w:highlight w:val="yellow"/>
        </w:rPr>
        <w:t>]</w:t>
      </w:r>
      <w:r w:rsidR="00543DCA">
        <w:t xml:space="preserve"> (GR-2</w:t>
      </w:r>
      <w:r w:rsidR="00287F87">
        <w:t>6</w:t>
      </w:r>
      <w:r w:rsidR="00543DCA">
        <w:t>)</w:t>
      </w:r>
      <w:bookmarkEnd w:id="44"/>
    </w:p>
    <w:p w14:paraId="2F4786DF"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7F6CE7D8" w14:textId="77777777" w:rsidTr="00DB5BE8">
        <w:trPr>
          <w:trHeight w:val="563"/>
        </w:trPr>
        <w:tc>
          <w:tcPr>
            <w:tcW w:w="1932" w:type="dxa"/>
          </w:tcPr>
          <w:p w14:paraId="660DF80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40F0BDF2"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EB3B6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61457012" w14:textId="77777777" w:rsidTr="00DB5BE8">
        <w:trPr>
          <w:trHeight w:val="698"/>
        </w:trPr>
        <w:tc>
          <w:tcPr>
            <w:tcW w:w="1932" w:type="dxa"/>
          </w:tcPr>
          <w:p w14:paraId="10075537" w14:textId="68E253D3"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45CC952"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6A3F3F3"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AD2B514"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798739"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FCB97A6" w14:textId="77777777" w:rsidTr="00DB5BE8">
        <w:trPr>
          <w:trHeight w:val="636"/>
        </w:trPr>
        <w:tc>
          <w:tcPr>
            <w:tcW w:w="9180" w:type="dxa"/>
            <w:gridSpan w:val="4"/>
          </w:tcPr>
          <w:p w14:paraId="3FE93EA0" w14:textId="77777777" w:rsidR="00A84BF6" w:rsidRDefault="00A84BF6" w:rsidP="00DB5BE8">
            <w:pPr>
              <w:jc w:val="both"/>
              <w:rPr>
                <w:rFonts w:ascii="Arial" w:hAnsi="Arial" w:cs="Arial"/>
                <w:sz w:val="18"/>
                <w:szCs w:val="18"/>
              </w:rPr>
            </w:pPr>
          </w:p>
          <w:p w14:paraId="72146307"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1327FAC2"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5D0580A" w14:textId="77777777" w:rsidTr="00DB5BE8">
        <w:trPr>
          <w:trHeight w:val="294"/>
        </w:trPr>
        <w:tc>
          <w:tcPr>
            <w:tcW w:w="9180" w:type="dxa"/>
            <w:gridSpan w:val="4"/>
          </w:tcPr>
          <w:p w14:paraId="4085BDD4" w14:textId="77777777" w:rsidR="00A84BF6" w:rsidRPr="009872F3" w:rsidRDefault="00A84BF6" w:rsidP="00DB5BE8">
            <w:pPr>
              <w:jc w:val="both"/>
              <w:rPr>
                <w:rFonts w:ascii="Arial" w:hAnsi="Arial" w:cs="Arial"/>
                <w:sz w:val="18"/>
                <w:szCs w:val="18"/>
              </w:rPr>
            </w:pPr>
          </w:p>
        </w:tc>
      </w:tr>
      <w:tr w:rsidR="00A84BF6" w:rsidRPr="009872F3" w14:paraId="514666AD" w14:textId="77777777" w:rsidTr="00DB5BE8">
        <w:tc>
          <w:tcPr>
            <w:tcW w:w="5798" w:type="dxa"/>
            <w:gridSpan w:val="3"/>
          </w:tcPr>
          <w:p w14:paraId="04CE524D"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7A37FF34"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9D51E00" w14:textId="77777777" w:rsidTr="00DB5BE8">
        <w:tc>
          <w:tcPr>
            <w:tcW w:w="5798" w:type="dxa"/>
            <w:gridSpan w:val="3"/>
          </w:tcPr>
          <w:p w14:paraId="14DDCD32" w14:textId="6B725B8E"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operationellen Risiken </w:t>
            </w:r>
            <w:r w:rsidR="00757204">
              <w:rPr>
                <w:rFonts w:ascii="Arial" w:hAnsi="Arial" w:cs="Arial"/>
                <w:sz w:val="18"/>
                <w:szCs w:val="18"/>
                <w:highlight w:val="yellow"/>
              </w:rPr>
              <w:t>–</w:t>
            </w:r>
            <w:r>
              <w:rPr>
                <w:rFonts w:ascii="Arial" w:hAnsi="Arial" w:cs="Arial"/>
                <w:sz w:val="18"/>
                <w:szCs w:val="18"/>
                <w:highlight w:val="yellow"/>
              </w:rPr>
              <w:t xml:space="preserve"> </w:t>
            </w:r>
            <w:r w:rsidRPr="00276C60">
              <w:rPr>
                <w:rFonts w:ascii="Arial" w:hAnsi="Arial" w:cs="Arial"/>
                <w:sz w:val="18"/>
                <w:szCs w:val="18"/>
                <w:highlight w:val="yellow"/>
              </w:rPr>
              <w:t>tbd</w:t>
            </w:r>
            <w:r w:rsidR="00757204">
              <w:rPr>
                <w:rFonts w:ascii="Arial" w:hAnsi="Arial" w:cs="Arial"/>
                <w:sz w:val="18"/>
                <w:szCs w:val="18"/>
              </w:rPr>
              <w:t>]</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1C15C28B"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0E98F94D" w14:textId="77777777" w:rsidTr="00DB5BE8">
        <w:tc>
          <w:tcPr>
            <w:tcW w:w="5798" w:type="dxa"/>
            <w:gridSpan w:val="3"/>
          </w:tcPr>
          <w:p w14:paraId="4FEC8EC3"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w:t>
            </w:r>
            <w:r>
              <w:rPr>
                <w:rFonts w:ascii="Arial" w:hAnsi="Arial" w:cs="Arial"/>
                <w:sz w:val="18"/>
                <w:szCs w:val="18"/>
                <w:highlight w:val="yellow"/>
              </w:rPr>
              <w:lastRenderedPageBreak/>
              <w:t xml:space="preserve">operationellen Risiken – </w:t>
            </w:r>
            <w:r w:rsidRPr="00276C60">
              <w:rPr>
                <w:rFonts w:ascii="Arial" w:hAnsi="Arial" w:cs="Arial"/>
                <w:sz w:val="18"/>
                <w:szCs w:val="18"/>
                <w:highlight w:val="yellow"/>
              </w:rPr>
              <w:t>tbd</w:t>
            </w:r>
            <w:r w:rsidRPr="00CB3EE6">
              <w:rPr>
                <w:rFonts w:ascii="Arial" w:hAnsi="Arial" w:cs="Arial"/>
                <w:sz w:val="18"/>
                <w:szCs w:val="18"/>
                <w:highlight w:val="yellow"/>
              </w:rPr>
              <w:t>]</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412DA17C"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DA0BDFD"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6A6BCF12" w14:textId="77777777" w:rsidTr="00DB5BE8">
        <w:tc>
          <w:tcPr>
            <w:tcW w:w="2660" w:type="dxa"/>
          </w:tcPr>
          <w:p w14:paraId="3AA56389"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E84353"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196EC4AD" w14:textId="77777777" w:rsidTr="00DB5BE8">
        <w:tc>
          <w:tcPr>
            <w:tcW w:w="2660" w:type="dxa"/>
          </w:tcPr>
          <w:p w14:paraId="44F3D28F"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8E19CCD" w14:textId="77777777" w:rsidR="00D8345E" w:rsidRDefault="00D8345E" w:rsidP="00D8345E">
            <w:pPr>
              <w:jc w:val="both"/>
              <w:rPr>
                <w:rFonts w:ascii="Arial" w:hAnsi="Arial" w:cs="Arial"/>
                <w:i/>
                <w:sz w:val="20"/>
                <w:szCs w:val="20"/>
                <w:highlight w:val="lightGray"/>
              </w:rPr>
            </w:pPr>
          </w:p>
          <w:p w14:paraId="6249510B"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31B6F467"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2CAF25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4EC045DB" w14:textId="4213E471"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144B0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32ABBAE"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18F7B9BE" w14:textId="77777777" w:rsidTr="00DB5BE8">
        <w:tc>
          <w:tcPr>
            <w:tcW w:w="2660" w:type="dxa"/>
          </w:tcPr>
          <w:p w14:paraId="497BD8BF"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F36F533" w14:textId="77777777" w:rsidR="0074539F" w:rsidRPr="00CE3194" w:rsidRDefault="0074539F" w:rsidP="00DB5BE8">
            <w:pPr>
              <w:jc w:val="both"/>
              <w:rPr>
                <w:rFonts w:ascii="Arial" w:hAnsi="Arial" w:cs="Arial"/>
                <w:i/>
                <w:sz w:val="20"/>
                <w:szCs w:val="20"/>
                <w:highlight w:val="lightGray"/>
              </w:rPr>
            </w:pPr>
          </w:p>
        </w:tc>
        <w:tc>
          <w:tcPr>
            <w:tcW w:w="6520" w:type="dxa"/>
          </w:tcPr>
          <w:p w14:paraId="6A6968E3" w14:textId="0A62C74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68E9B19E" w14:textId="102F8823" w:rsidR="0074539F" w:rsidRPr="00CE3194" w:rsidRDefault="0074539F" w:rsidP="000362E2">
            <w:pPr>
              <w:pStyle w:val="Listenabsatz"/>
              <w:numPr>
                <w:ilvl w:val="1"/>
                <w:numId w:val="17"/>
              </w:numPr>
              <w:ind w:left="317" w:hanging="283"/>
              <w:jc w:val="both"/>
              <w:rPr>
                <w:rFonts w:cs="Arial"/>
                <w:i/>
                <w:szCs w:val="20"/>
                <w:highlight w:val="lightGray"/>
              </w:rPr>
            </w:pPr>
            <w:r>
              <w:rPr>
                <w:rFonts w:cs="Arial"/>
                <w:i/>
                <w:szCs w:val="20"/>
                <w:highlight w:val="lightGray"/>
              </w:rPr>
              <w:t xml:space="preserve"> </w:t>
            </w: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84FDC7A" w14:textId="0A866C5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ACA2B9B"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5391C1FF" w14:textId="77777777" w:rsidTr="00DB5BE8">
        <w:tc>
          <w:tcPr>
            <w:tcW w:w="2660" w:type="dxa"/>
          </w:tcPr>
          <w:p w14:paraId="729D7F18"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1F21AA17" w14:textId="0A84CA50"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r w:rsidR="00D95839">
              <w:rPr>
                <w:rFonts w:cs="Arial"/>
                <w:i/>
                <w:szCs w:val="20"/>
                <w:highlight w:val="lightGray"/>
              </w:rPr>
              <w:t>. Insofern relevant.</w:t>
            </w:r>
          </w:p>
          <w:p w14:paraId="6986FD42"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7AAEC30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D7E20D8"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F1AF1AB"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ABEC4D4" w14:textId="21332C10"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A938AE">
              <w:rPr>
                <w:rFonts w:cs="Arial"/>
                <w:i/>
                <w:szCs w:val="20"/>
                <w:highlight w:val="lightGray"/>
              </w:rPr>
              <w:t xml:space="preserve">wobei ESG-Risikofaktoren </w:t>
            </w:r>
            <w:r w:rsidR="00243628" w:rsidRPr="00A938AE">
              <w:rPr>
                <w:rFonts w:cs="Arial"/>
                <w:i/>
                <w:szCs w:val="20"/>
                <w:highlight w:val="lightGray"/>
              </w:rPr>
              <w:t>qualitativ u/o quantitativ</w:t>
            </w:r>
            <w:r w:rsidR="003D4AD9" w:rsidRPr="00A938AE">
              <w:rPr>
                <w:rFonts w:cs="Arial"/>
                <w:i/>
                <w:szCs w:val="20"/>
                <w:highlight w:val="lightGray"/>
              </w:rPr>
              <w:t xml:space="preserve"> berücksichtigt werden</w:t>
            </w:r>
            <w:r w:rsidR="00D95839" w:rsidRPr="00A938AE">
              <w:rPr>
                <w:rFonts w:cs="Arial"/>
                <w:i/>
                <w:szCs w:val="20"/>
                <w:highlight w:val="lightGray"/>
              </w:rPr>
              <w:t>, insofern relevant.</w:t>
            </w:r>
          </w:p>
        </w:tc>
      </w:tr>
    </w:tbl>
    <w:p w14:paraId="19CC2A55" w14:textId="77777777" w:rsidR="00A84BF6" w:rsidRDefault="00A84BF6" w:rsidP="00CB3EE6">
      <w:pPr>
        <w:jc w:val="both"/>
        <w:rPr>
          <w:rFonts w:cs="Arial"/>
          <w:szCs w:val="20"/>
        </w:rPr>
      </w:pPr>
    </w:p>
    <w:p w14:paraId="4880B86C"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D2FF442" w14:textId="77777777" w:rsidR="00E70DF4" w:rsidRDefault="00E70DF4" w:rsidP="00CB3EE6">
      <w:pPr>
        <w:jc w:val="both"/>
        <w:rPr>
          <w:rFonts w:cs="Arial"/>
          <w:szCs w:val="20"/>
        </w:rPr>
      </w:pPr>
    </w:p>
    <w:p w14:paraId="03BA4679" w14:textId="77777777" w:rsidR="00A84BF6" w:rsidRPr="006730AC" w:rsidRDefault="00A84BF6" w:rsidP="00CB3EE6">
      <w:pPr>
        <w:jc w:val="both"/>
        <w:rPr>
          <w:rFonts w:cs="Arial"/>
          <w:szCs w:val="20"/>
        </w:rPr>
      </w:pPr>
    </w:p>
    <w:p w14:paraId="1C2E2FCE" w14:textId="432E2014" w:rsidR="008C30D1" w:rsidRPr="006730AC" w:rsidRDefault="008C30D1" w:rsidP="006F7AB5">
      <w:pPr>
        <w:pStyle w:val="FINMAGliederungEbene3"/>
      </w:pPr>
      <w:bookmarkStart w:id="45" w:name="_Toc216425794"/>
      <w:r>
        <w:t>Kurzfristige Liquiditätsrisiken (Abruf- und Terminrisiken)</w:t>
      </w:r>
      <w:r w:rsidR="00543DCA">
        <w:t xml:space="preserve"> (GR-</w:t>
      </w:r>
      <w:r w:rsidR="00DB5BE8">
        <w:t>2</w:t>
      </w:r>
      <w:r w:rsidR="00287F87">
        <w:t>7</w:t>
      </w:r>
      <w:r w:rsidR="00543DCA">
        <w:t>)</w:t>
      </w:r>
      <w:bookmarkEnd w:id="45"/>
    </w:p>
    <w:p w14:paraId="32ECACE1" w14:textId="77777777" w:rsidR="00295664" w:rsidRDefault="00295664"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D0A25" w:rsidRPr="009872F3" w14:paraId="597F6D5A" w14:textId="77777777" w:rsidTr="0036650A">
        <w:trPr>
          <w:trHeight w:val="563"/>
        </w:trPr>
        <w:tc>
          <w:tcPr>
            <w:tcW w:w="1932" w:type="dxa"/>
          </w:tcPr>
          <w:p w14:paraId="3CB112AC"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0262FA4"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3FE9AA5"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D0A25" w:rsidRPr="009872F3" w14:paraId="2A74E66D" w14:textId="77777777" w:rsidTr="0036650A">
        <w:trPr>
          <w:trHeight w:val="698"/>
        </w:trPr>
        <w:tc>
          <w:tcPr>
            <w:tcW w:w="1932" w:type="dxa"/>
          </w:tcPr>
          <w:p w14:paraId="0893057E" w14:textId="4DB6AF13"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B46668D" w14:textId="77777777"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6D8F668"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C71BCAF" w14:textId="77777777" w:rsidR="00FD0A25" w:rsidRDefault="00FD0A25"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2607BA9" w14:textId="77777777" w:rsidR="00FD0A25" w:rsidRPr="006749F0" w:rsidRDefault="00FD0A25" w:rsidP="0036650A">
            <w:pPr>
              <w:jc w:val="both"/>
              <w:rPr>
                <w:rFonts w:ascii="Arial" w:hAnsi="Arial" w:cs="Arial"/>
                <w:i/>
                <w:sz w:val="18"/>
                <w:szCs w:val="18"/>
              </w:rPr>
            </w:pPr>
            <w:r w:rsidRPr="006749F0">
              <w:rPr>
                <w:rFonts w:ascii="Arial" w:hAnsi="Arial" w:cs="Arial"/>
                <w:i/>
                <w:sz w:val="18"/>
                <w:szCs w:val="18"/>
                <w:highlight w:val="yellow"/>
              </w:rPr>
              <w:t>Jahr</w:t>
            </w:r>
          </w:p>
        </w:tc>
      </w:tr>
      <w:tr w:rsidR="00FD0A25" w:rsidRPr="009872F3" w14:paraId="194AA9DE" w14:textId="77777777" w:rsidTr="0036650A">
        <w:trPr>
          <w:trHeight w:val="636"/>
        </w:trPr>
        <w:tc>
          <w:tcPr>
            <w:tcW w:w="9180" w:type="dxa"/>
            <w:gridSpan w:val="4"/>
          </w:tcPr>
          <w:p w14:paraId="61B8A9E1" w14:textId="77777777" w:rsidR="00FD0A25" w:rsidRDefault="00FD0A25" w:rsidP="0036650A">
            <w:pPr>
              <w:jc w:val="both"/>
              <w:rPr>
                <w:rFonts w:ascii="Arial" w:hAnsi="Arial" w:cs="Arial"/>
                <w:sz w:val="18"/>
                <w:szCs w:val="18"/>
              </w:rPr>
            </w:pPr>
          </w:p>
          <w:p w14:paraId="045A051E" w14:textId="77777777" w:rsidR="00FD0A25" w:rsidRDefault="00FD0A25"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C83045A" w14:textId="6FBD52DC" w:rsidR="00FD0A25" w:rsidRPr="009872F3" w:rsidRDefault="00FD0A25" w:rsidP="0036650A">
            <w:pPr>
              <w:jc w:val="both"/>
              <w:rPr>
                <w:rFonts w:ascii="Arial" w:hAnsi="Arial" w:cs="Arial"/>
                <w:sz w:val="18"/>
                <w:szCs w:val="18"/>
              </w:rPr>
            </w:pPr>
            <w:r w:rsidRPr="000718F2">
              <w:rPr>
                <w:rFonts w:ascii="Arial" w:hAnsi="Arial" w:cs="Arial"/>
                <w:sz w:val="18"/>
                <w:szCs w:val="18"/>
                <w:highlight w:val="yellow"/>
              </w:rPr>
              <w:t xml:space="preserve">Art </w:t>
            </w:r>
            <w:r w:rsidR="00752F45" w:rsidRPr="000718F2">
              <w:rPr>
                <w:rFonts w:ascii="Arial" w:hAnsi="Arial" w:cs="Arial"/>
                <w:sz w:val="18"/>
                <w:szCs w:val="18"/>
                <w:highlight w:val="yellow"/>
              </w:rPr>
              <w:t>79 BankG, Art. 16 BankV,</w:t>
            </w:r>
            <w:r w:rsidR="000718F2" w:rsidRPr="000718F2">
              <w:rPr>
                <w:rFonts w:ascii="Arial" w:hAnsi="Arial" w:cs="Arial"/>
                <w:sz w:val="18"/>
                <w:szCs w:val="18"/>
                <w:highlight w:val="yellow"/>
              </w:rPr>
              <w:t xml:space="preserve"> Art.</w:t>
            </w:r>
            <w:r w:rsidR="000718F2" w:rsidRPr="00A938AE">
              <w:rPr>
                <w:rFonts w:ascii="Arial" w:hAnsi="Arial" w:cs="Arial"/>
                <w:sz w:val="18"/>
                <w:szCs w:val="18"/>
                <w:highlight w:val="yellow"/>
              </w:rPr>
              <w:t xml:space="preserve"> 2</w:t>
            </w:r>
            <w:r w:rsidR="000718F2">
              <w:rPr>
                <w:rFonts w:ascii="Arial" w:hAnsi="Arial" w:cs="Arial"/>
                <w:sz w:val="18"/>
                <w:szCs w:val="18"/>
                <w:highlight w:val="yellow"/>
              </w:rPr>
              <w:t>4 BankV</w:t>
            </w:r>
            <w:r w:rsidR="00C02D6E">
              <w:rPr>
                <w:rFonts w:ascii="Arial" w:hAnsi="Arial" w:cs="Arial"/>
                <w:sz w:val="18"/>
                <w:szCs w:val="18"/>
                <w:highlight w:val="yellow"/>
              </w:rPr>
              <w:t xml:space="preserve">, Art. 10-11 BankV, </w:t>
            </w:r>
            <w:r w:rsidR="00752F45" w:rsidRPr="000718F2">
              <w:rPr>
                <w:rFonts w:ascii="Arial" w:hAnsi="Arial" w:cs="Arial"/>
                <w:sz w:val="18"/>
                <w:szCs w:val="18"/>
                <w:highlight w:val="yellow"/>
              </w:rPr>
              <w:t xml:space="preserve"> </w:t>
            </w:r>
            <w:r w:rsidRPr="00CB3EE6">
              <w:rPr>
                <w:rFonts w:ascii="Arial" w:hAnsi="Arial" w:cs="Arial"/>
                <w:sz w:val="18"/>
                <w:szCs w:val="18"/>
                <w:highlight w:val="yellow"/>
              </w:rPr>
              <w:t xml:space="preserve">FMA-Mitteilung 2017/6; Art. 412 Verordnung (EU) </w:t>
            </w:r>
            <w:r>
              <w:rPr>
                <w:rFonts w:ascii="Arial" w:hAnsi="Arial" w:cs="Arial"/>
                <w:sz w:val="18"/>
                <w:szCs w:val="18"/>
                <w:highlight w:val="yellow"/>
              </w:rPr>
              <w:t xml:space="preserve">Nr. </w:t>
            </w:r>
            <w:r w:rsidRPr="00CB3EE6">
              <w:rPr>
                <w:rFonts w:ascii="Arial" w:hAnsi="Arial" w:cs="Arial"/>
                <w:sz w:val="18"/>
                <w:szCs w:val="18"/>
                <w:highlight w:val="yellow"/>
              </w:rPr>
              <w:t>575/2013</w:t>
            </w:r>
            <w:r w:rsidR="009E273B">
              <w:rPr>
                <w:rFonts w:ascii="Arial" w:hAnsi="Arial" w:cs="Arial"/>
                <w:sz w:val="18"/>
                <w:szCs w:val="18"/>
                <w:highlight w:val="yellow"/>
              </w:rPr>
              <w:t>; EBA/GL/2021/05</w:t>
            </w:r>
          </w:p>
        </w:tc>
      </w:tr>
      <w:tr w:rsidR="00FD0A25" w:rsidRPr="009872F3" w14:paraId="625F5F1C" w14:textId="77777777" w:rsidTr="0036650A">
        <w:trPr>
          <w:trHeight w:val="294"/>
        </w:trPr>
        <w:tc>
          <w:tcPr>
            <w:tcW w:w="9180" w:type="dxa"/>
            <w:gridSpan w:val="4"/>
          </w:tcPr>
          <w:p w14:paraId="606373D3" w14:textId="77777777" w:rsidR="00FD0A25" w:rsidRPr="009872F3" w:rsidRDefault="00FD0A25" w:rsidP="0036650A">
            <w:pPr>
              <w:jc w:val="both"/>
              <w:rPr>
                <w:rFonts w:ascii="Arial" w:hAnsi="Arial" w:cs="Arial"/>
                <w:sz w:val="18"/>
                <w:szCs w:val="18"/>
              </w:rPr>
            </w:pPr>
          </w:p>
        </w:tc>
      </w:tr>
      <w:tr w:rsidR="00FD0A25" w:rsidRPr="009872F3" w14:paraId="584A1EB4" w14:textId="77777777" w:rsidTr="0036650A">
        <w:tc>
          <w:tcPr>
            <w:tcW w:w="5798" w:type="dxa"/>
            <w:gridSpan w:val="3"/>
          </w:tcPr>
          <w:p w14:paraId="7FD09FDE"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lastRenderedPageBreak/>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kurzfristigen Liquiditätsrisiken (Abruf- und Terminrisiken) </w:t>
            </w:r>
            <w:r w:rsidRPr="00C1307E">
              <w:rPr>
                <w:rFonts w:ascii="Arial" w:hAnsi="Arial" w:cs="Arial"/>
                <w:sz w:val="18"/>
                <w:szCs w:val="18"/>
              </w:rPr>
              <w:t>angemessen ausgestaltet ist.</w:t>
            </w:r>
          </w:p>
        </w:tc>
        <w:tc>
          <w:tcPr>
            <w:tcW w:w="3382" w:type="dxa"/>
          </w:tcPr>
          <w:p w14:paraId="0191FAAB" w14:textId="77777777" w:rsidR="00FD0A25" w:rsidRPr="00E109DF" w:rsidRDefault="00FD0A25"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78657925" w14:textId="77777777" w:rsidTr="0036650A">
        <w:tc>
          <w:tcPr>
            <w:tcW w:w="5798" w:type="dxa"/>
            <w:gridSpan w:val="3"/>
          </w:tcPr>
          <w:p w14:paraId="2E88BC28"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kurzfristigen Liquiditätsrisiken (Abruf- und Terminrisiken)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EA70486"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38C5AD6F" w14:textId="77777777" w:rsidTr="0036650A">
        <w:tc>
          <w:tcPr>
            <w:tcW w:w="5798" w:type="dxa"/>
            <w:gridSpan w:val="3"/>
          </w:tcPr>
          <w:p w14:paraId="67E572EE"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kurzfristigen Liquiditätsrisiken (Abruf- und Terminrisiken)</w:t>
            </w:r>
            <w:r w:rsidRPr="00C1307E">
              <w:rPr>
                <w:rFonts w:ascii="Arial" w:hAnsi="Arial" w:cs="Arial"/>
                <w:sz w:val="18"/>
                <w:szCs w:val="18"/>
              </w:rPr>
              <w:t xml:space="preserve"> 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8770347"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29B51B8" w14:textId="77777777" w:rsidR="00FD0A25" w:rsidRPr="00CE3194" w:rsidRDefault="00FD0A25" w:rsidP="00FD0A2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D0A25" w:rsidRPr="00CE3194" w14:paraId="1FA64C2C" w14:textId="77777777" w:rsidTr="0036650A">
        <w:tc>
          <w:tcPr>
            <w:tcW w:w="2660" w:type="dxa"/>
          </w:tcPr>
          <w:p w14:paraId="6B9AC3E0"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B5965E2"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D0A25" w:rsidRPr="00CE3194" w14:paraId="0716F3CC" w14:textId="77777777" w:rsidTr="0036650A">
        <w:tc>
          <w:tcPr>
            <w:tcW w:w="2660" w:type="dxa"/>
          </w:tcPr>
          <w:p w14:paraId="49C4E8E2"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2270915" w14:textId="77777777" w:rsidR="00D8345E" w:rsidRDefault="00D8345E" w:rsidP="00D8345E">
            <w:pPr>
              <w:jc w:val="both"/>
              <w:rPr>
                <w:rFonts w:ascii="Arial" w:hAnsi="Arial" w:cs="Arial"/>
                <w:i/>
                <w:sz w:val="20"/>
                <w:szCs w:val="20"/>
                <w:highlight w:val="lightGray"/>
              </w:rPr>
            </w:pPr>
          </w:p>
          <w:p w14:paraId="4E944272" w14:textId="77777777" w:rsidR="00FD0A25"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8C5E4C2"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AE5BC0B"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6A6BDC78" w14:textId="61F67C2D"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6F5C5B4"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DAE699F"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4ED36F9" w14:textId="77777777" w:rsidTr="0036650A">
        <w:tc>
          <w:tcPr>
            <w:tcW w:w="2660" w:type="dxa"/>
          </w:tcPr>
          <w:p w14:paraId="1693965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6FAD75A" w14:textId="77777777" w:rsidR="0074539F" w:rsidRPr="00CE3194" w:rsidRDefault="0074539F" w:rsidP="0036650A">
            <w:pPr>
              <w:jc w:val="both"/>
              <w:rPr>
                <w:rFonts w:ascii="Arial" w:hAnsi="Arial" w:cs="Arial"/>
                <w:i/>
                <w:sz w:val="20"/>
                <w:szCs w:val="20"/>
                <w:highlight w:val="lightGray"/>
              </w:rPr>
            </w:pPr>
          </w:p>
        </w:tc>
        <w:tc>
          <w:tcPr>
            <w:tcW w:w="6520" w:type="dxa"/>
          </w:tcPr>
          <w:p w14:paraId="5024726F" w14:textId="4D20C725"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2146E4E4" w14:textId="4806A3E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7C7CD21" w14:textId="41CA17A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07153DB7"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D0A25" w14:paraId="63B8A6F5" w14:textId="77777777" w:rsidTr="0036650A">
        <w:tc>
          <w:tcPr>
            <w:tcW w:w="2660" w:type="dxa"/>
          </w:tcPr>
          <w:p w14:paraId="2B62CFB7" w14:textId="77777777" w:rsidR="00FD0A25" w:rsidRDefault="00FD0A25"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08C7707B" w14:textId="703D5A7C"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6632DFB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8BD892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A43B247"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6F92E37A" w14:textId="77777777" w:rsidR="00FD0A25" w:rsidRPr="005B66F8" w:rsidRDefault="00FD0A25"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021B131B" w14:textId="7D84AEC7"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3DE9EF08" w14:textId="77777777" w:rsidR="00295664" w:rsidRDefault="00295664" w:rsidP="00CB3EE6">
      <w:pPr>
        <w:jc w:val="both"/>
        <w:rPr>
          <w:rFonts w:cs="Arial"/>
          <w:szCs w:val="20"/>
        </w:rPr>
      </w:pPr>
    </w:p>
    <w:p w14:paraId="5283D135"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5FDCD26" w14:textId="77777777" w:rsidR="00E70DF4" w:rsidRDefault="00E70DF4" w:rsidP="00CB3EE6">
      <w:pPr>
        <w:jc w:val="both"/>
        <w:rPr>
          <w:rFonts w:cs="Arial"/>
          <w:szCs w:val="20"/>
        </w:rPr>
      </w:pPr>
    </w:p>
    <w:p w14:paraId="14B3FE0E" w14:textId="77777777" w:rsidR="00295664" w:rsidRPr="006730AC" w:rsidRDefault="00295664" w:rsidP="00CB3EE6">
      <w:pPr>
        <w:jc w:val="both"/>
        <w:rPr>
          <w:rFonts w:cs="Arial"/>
          <w:szCs w:val="20"/>
        </w:rPr>
      </w:pPr>
    </w:p>
    <w:p w14:paraId="58260AFE" w14:textId="295FD7BE" w:rsidR="008C30D1" w:rsidRPr="006730AC" w:rsidRDefault="008C30D1" w:rsidP="006F7AB5">
      <w:pPr>
        <w:pStyle w:val="FINMAGliederungEbene3"/>
      </w:pPr>
      <w:bookmarkStart w:id="46" w:name="_Toc216425795"/>
      <w:r>
        <w:t>Strukturelle Refinanzierungsrisiken</w:t>
      </w:r>
      <w:r w:rsidR="00543DCA">
        <w:t xml:space="preserve"> (GR-</w:t>
      </w:r>
      <w:r w:rsidR="00287F87">
        <w:t>28</w:t>
      </w:r>
      <w:r w:rsidR="00543DCA">
        <w:t>)</w:t>
      </w:r>
      <w:bookmarkEnd w:id="46"/>
    </w:p>
    <w:p w14:paraId="46809D0C" w14:textId="77777777" w:rsidR="00FD0A25" w:rsidRDefault="00FD0A25"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FD0A25" w:rsidRPr="009872F3" w14:paraId="0BC47EC5" w14:textId="77777777" w:rsidTr="0036650A">
        <w:trPr>
          <w:trHeight w:val="563"/>
        </w:trPr>
        <w:tc>
          <w:tcPr>
            <w:tcW w:w="1932" w:type="dxa"/>
          </w:tcPr>
          <w:p w14:paraId="4F15A8FB"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0D0073F0"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56C6DFD"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D0A25" w:rsidRPr="009872F3" w14:paraId="53E8DD1E" w14:textId="77777777" w:rsidTr="0036650A">
        <w:trPr>
          <w:trHeight w:val="698"/>
        </w:trPr>
        <w:tc>
          <w:tcPr>
            <w:tcW w:w="1932" w:type="dxa"/>
          </w:tcPr>
          <w:p w14:paraId="0C4008B6" w14:textId="74675B8B"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0F9AE9FD" w14:textId="77777777" w:rsidR="00FD0A25" w:rsidRPr="006749F0" w:rsidRDefault="00FD0A25"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50F4768" w14:textId="77777777" w:rsidR="00FD0A25" w:rsidRPr="009872F3" w:rsidRDefault="00FD0A25"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3338F8" w14:textId="77777777" w:rsidR="00FD0A25" w:rsidRDefault="00FD0A25"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61D7A48" w14:textId="77777777" w:rsidR="00FD0A25" w:rsidRPr="006749F0" w:rsidRDefault="00FD0A25" w:rsidP="0036650A">
            <w:pPr>
              <w:jc w:val="both"/>
              <w:rPr>
                <w:rFonts w:ascii="Arial" w:hAnsi="Arial" w:cs="Arial"/>
                <w:i/>
                <w:sz w:val="18"/>
                <w:szCs w:val="18"/>
              </w:rPr>
            </w:pPr>
            <w:r w:rsidRPr="006749F0">
              <w:rPr>
                <w:rFonts w:ascii="Arial" w:hAnsi="Arial" w:cs="Arial"/>
                <w:i/>
                <w:sz w:val="18"/>
                <w:szCs w:val="18"/>
                <w:highlight w:val="yellow"/>
              </w:rPr>
              <w:t>Jahr</w:t>
            </w:r>
          </w:p>
        </w:tc>
      </w:tr>
      <w:tr w:rsidR="00FD0A25" w:rsidRPr="009872F3" w14:paraId="6B476E5F" w14:textId="77777777" w:rsidTr="0036650A">
        <w:trPr>
          <w:trHeight w:val="636"/>
        </w:trPr>
        <w:tc>
          <w:tcPr>
            <w:tcW w:w="9180" w:type="dxa"/>
            <w:gridSpan w:val="4"/>
          </w:tcPr>
          <w:p w14:paraId="2777B43F" w14:textId="77777777" w:rsidR="00FD0A25" w:rsidRDefault="00FD0A25" w:rsidP="0036650A">
            <w:pPr>
              <w:jc w:val="both"/>
              <w:rPr>
                <w:rFonts w:ascii="Arial" w:hAnsi="Arial" w:cs="Arial"/>
                <w:sz w:val="18"/>
                <w:szCs w:val="18"/>
              </w:rPr>
            </w:pPr>
          </w:p>
          <w:p w14:paraId="364AA164" w14:textId="77777777" w:rsidR="00FD0A25" w:rsidRDefault="00FD0A25"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681E3E43" w14:textId="632CCDED" w:rsidR="00FD0A25" w:rsidRPr="009872F3" w:rsidRDefault="000718F2" w:rsidP="0036650A">
            <w:pPr>
              <w:jc w:val="both"/>
              <w:rPr>
                <w:rFonts w:ascii="Arial" w:hAnsi="Arial" w:cs="Arial"/>
                <w:sz w:val="18"/>
                <w:szCs w:val="18"/>
              </w:rPr>
            </w:pPr>
            <w:r w:rsidRPr="000718F2">
              <w:rPr>
                <w:rFonts w:ascii="Arial" w:hAnsi="Arial" w:cs="Arial"/>
                <w:sz w:val="18"/>
                <w:szCs w:val="18"/>
                <w:highlight w:val="yellow"/>
              </w:rPr>
              <w:t>Art 79 BankG, Art. 16 BankV, Art.</w:t>
            </w:r>
            <w:r w:rsidRPr="002A1419">
              <w:rPr>
                <w:rFonts w:ascii="Arial" w:hAnsi="Arial" w:cs="Arial"/>
                <w:sz w:val="18"/>
                <w:szCs w:val="18"/>
                <w:highlight w:val="yellow"/>
              </w:rPr>
              <w:t xml:space="preserve"> 2</w:t>
            </w:r>
            <w:r>
              <w:rPr>
                <w:rFonts w:ascii="Arial" w:hAnsi="Arial" w:cs="Arial"/>
                <w:sz w:val="18"/>
                <w:szCs w:val="18"/>
                <w:highlight w:val="yellow"/>
              </w:rPr>
              <w:t>4 BankV</w:t>
            </w:r>
            <w:r w:rsidR="00C02D6E">
              <w:rPr>
                <w:rFonts w:ascii="Arial" w:hAnsi="Arial" w:cs="Arial"/>
                <w:sz w:val="18"/>
                <w:szCs w:val="18"/>
                <w:highlight w:val="yellow"/>
              </w:rPr>
              <w:t xml:space="preserve">, Art. 10-11 BankV, </w:t>
            </w:r>
            <w:r w:rsidRPr="000718F2">
              <w:rPr>
                <w:rFonts w:ascii="Arial" w:hAnsi="Arial" w:cs="Arial"/>
                <w:sz w:val="18"/>
                <w:szCs w:val="18"/>
                <w:highlight w:val="yellow"/>
              </w:rPr>
              <w:t xml:space="preserve"> </w:t>
            </w:r>
            <w:r>
              <w:rPr>
                <w:rFonts w:ascii="Arial" w:hAnsi="Arial" w:cs="Arial"/>
                <w:sz w:val="18"/>
                <w:szCs w:val="18"/>
                <w:highlight w:val="yellow"/>
              </w:rPr>
              <w:t xml:space="preserve">, </w:t>
            </w:r>
            <w:r w:rsidR="00FD0A25" w:rsidRPr="00CB3EE6">
              <w:rPr>
                <w:rFonts w:ascii="Arial" w:hAnsi="Arial" w:cs="Arial"/>
                <w:sz w:val="18"/>
                <w:szCs w:val="18"/>
                <w:highlight w:val="yellow"/>
              </w:rPr>
              <w:t>FMA-Mitteilung 2017/6; Art. 413 Verordnung (EU) Nr. 575/2013</w:t>
            </w:r>
            <w:r w:rsidR="009E273B">
              <w:rPr>
                <w:rFonts w:ascii="Arial" w:hAnsi="Arial" w:cs="Arial"/>
                <w:sz w:val="18"/>
                <w:szCs w:val="18"/>
                <w:highlight w:val="yellow"/>
              </w:rPr>
              <w:t>; EBA/GL/2021/05</w:t>
            </w:r>
          </w:p>
        </w:tc>
      </w:tr>
      <w:tr w:rsidR="00FD0A25" w:rsidRPr="009872F3" w14:paraId="08040B06" w14:textId="77777777" w:rsidTr="0036650A">
        <w:trPr>
          <w:trHeight w:val="294"/>
        </w:trPr>
        <w:tc>
          <w:tcPr>
            <w:tcW w:w="9180" w:type="dxa"/>
            <w:gridSpan w:val="4"/>
          </w:tcPr>
          <w:p w14:paraId="2E623124" w14:textId="77777777" w:rsidR="00FD0A25" w:rsidRPr="009872F3" w:rsidRDefault="00FD0A25" w:rsidP="0036650A">
            <w:pPr>
              <w:jc w:val="both"/>
              <w:rPr>
                <w:rFonts w:ascii="Arial" w:hAnsi="Arial" w:cs="Arial"/>
                <w:sz w:val="18"/>
                <w:szCs w:val="18"/>
              </w:rPr>
            </w:pPr>
          </w:p>
        </w:tc>
      </w:tr>
      <w:tr w:rsidR="00FD0A25" w:rsidRPr="009872F3" w14:paraId="56AE4CC1" w14:textId="77777777" w:rsidTr="0036650A">
        <w:tc>
          <w:tcPr>
            <w:tcW w:w="5798" w:type="dxa"/>
            <w:gridSpan w:val="3"/>
          </w:tcPr>
          <w:p w14:paraId="1E278999" w14:textId="77777777" w:rsidR="00FD0A25" w:rsidRPr="00C1307E" w:rsidRDefault="00FD0A25"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strukturellen Refinanzierungsrisiken </w:t>
            </w:r>
            <w:r w:rsidRPr="00C1307E">
              <w:rPr>
                <w:rFonts w:ascii="Arial" w:hAnsi="Arial" w:cs="Arial"/>
                <w:sz w:val="18"/>
                <w:szCs w:val="18"/>
              </w:rPr>
              <w:t>angemessen ausgestaltet ist.</w:t>
            </w:r>
          </w:p>
        </w:tc>
        <w:tc>
          <w:tcPr>
            <w:tcW w:w="3382" w:type="dxa"/>
          </w:tcPr>
          <w:p w14:paraId="6DD670B2" w14:textId="77777777" w:rsidR="00FD0A25" w:rsidRPr="00E109DF" w:rsidRDefault="00FD0A25"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6E05207D" w14:textId="77777777" w:rsidTr="0036650A">
        <w:tc>
          <w:tcPr>
            <w:tcW w:w="5798" w:type="dxa"/>
            <w:gridSpan w:val="3"/>
          </w:tcPr>
          <w:p w14:paraId="77C37E1F"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strukturellen Refinanzierungsrisiken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1CA6EB0"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D0A25" w:rsidRPr="009872F3" w14:paraId="1DD578DE" w14:textId="77777777" w:rsidTr="0036650A">
        <w:tc>
          <w:tcPr>
            <w:tcW w:w="5798" w:type="dxa"/>
            <w:gridSpan w:val="3"/>
          </w:tcPr>
          <w:p w14:paraId="55BC5159" w14:textId="77777777" w:rsidR="00FD0A25" w:rsidRPr="00C1307E" w:rsidRDefault="00FD0A25"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strukturellen Refinanzierungsrisiken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34899993" w14:textId="77777777" w:rsidR="00FD0A25" w:rsidRPr="009872F3" w:rsidRDefault="00FD0A25"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18A95AC" w14:textId="77777777" w:rsidR="00FD0A25" w:rsidRPr="00CE3194" w:rsidRDefault="00FD0A25" w:rsidP="00FD0A25">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FD0A25" w:rsidRPr="00CE3194" w14:paraId="7CEA3B3A" w14:textId="77777777" w:rsidTr="0036650A">
        <w:tc>
          <w:tcPr>
            <w:tcW w:w="2660" w:type="dxa"/>
          </w:tcPr>
          <w:p w14:paraId="5C9CA3BA"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0041F1EA" w14:textId="77777777" w:rsidR="00FD0A25" w:rsidRPr="00CE3194" w:rsidRDefault="00FD0A25"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FD0A25" w:rsidRPr="00CE3194" w14:paraId="663C8E7C" w14:textId="77777777" w:rsidTr="0036650A">
        <w:tc>
          <w:tcPr>
            <w:tcW w:w="2660" w:type="dxa"/>
          </w:tcPr>
          <w:p w14:paraId="40EF1A21"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FCA482B" w14:textId="77777777" w:rsidR="00D8345E" w:rsidRDefault="00D8345E" w:rsidP="00D8345E">
            <w:pPr>
              <w:jc w:val="both"/>
              <w:rPr>
                <w:rFonts w:ascii="Arial" w:hAnsi="Arial" w:cs="Arial"/>
                <w:i/>
                <w:sz w:val="20"/>
                <w:szCs w:val="20"/>
                <w:highlight w:val="lightGray"/>
              </w:rPr>
            </w:pPr>
          </w:p>
          <w:p w14:paraId="7E3F6DD6" w14:textId="77777777" w:rsidR="00FD0A25"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6265B13D"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724D4CCB"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A880D92" w14:textId="00F93F01"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707D5D66"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474F736"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25243CC4" w14:textId="77777777" w:rsidTr="0036650A">
        <w:tc>
          <w:tcPr>
            <w:tcW w:w="2660" w:type="dxa"/>
          </w:tcPr>
          <w:p w14:paraId="3C3309E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D0FE17A" w14:textId="77777777" w:rsidR="0074539F" w:rsidRPr="00CE3194" w:rsidRDefault="0074539F" w:rsidP="0036650A">
            <w:pPr>
              <w:jc w:val="both"/>
              <w:rPr>
                <w:rFonts w:ascii="Arial" w:hAnsi="Arial" w:cs="Arial"/>
                <w:i/>
                <w:sz w:val="20"/>
                <w:szCs w:val="20"/>
                <w:highlight w:val="lightGray"/>
              </w:rPr>
            </w:pPr>
          </w:p>
        </w:tc>
        <w:tc>
          <w:tcPr>
            <w:tcW w:w="6520" w:type="dxa"/>
          </w:tcPr>
          <w:p w14:paraId="3549B0C8" w14:textId="122CD7C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670FA99E" w14:textId="74F2AFB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EEAFEBE" w14:textId="1D4C4C6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83BB1E3"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FD0A25" w14:paraId="12CADEA1" w14:textId="77777777" w:rsidTr="0036650A">
        <w:tc>
          <w:tcPr>
            <w:tcW w:w="2660" w:type="dxa"/>
          </w:tcPr>
          <w:p w14:paraId="7A3BE2DF" w14:textId="77777777" w:rsidR="00FD0A25" w:rsidRDefault="00FD0A25"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67B83A3" w14:textId="3585086E"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2B760385"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971D018"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E490D32" w14:textId="77777777" w:rsidR="00FD0A25" w:rsidRPr="00CE3194" w:rsidRDefault="00FD0A25"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71515CF" w14:textId="77777777" w:rsidR="00FD0A25" w:rsidRPr="005B66F8" w:rsidRDefault="00FD0A25"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638C2741" w14:textId="5D5F0F83"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0BCB7D30" w14:textId="77777777" w:rsidR="00FD0A25" w:rsidRDefault="00FD0A25" w:rsidP="00CB3EE6">
      <w:pPr>
        <w:jc w:val="both"/>
        <w:rPr>
          <w:rFonts w:cs="Arial"/>
          <w:szCs w:val="20"/>
        </w:rPr>
      </w:pPr>
    </w:p>
    <w:p w14:paraId="188E64D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9BF741C" w14:textId="77777777" w:rsidR="00E70DF4" w:rsidRDefault="00E70DF4" w:rsidP="00CB3EE6">
      <w:pPr>
        <w:jc w:val="both"/>
        <w:rPr>
          <w:rFonts w:cs="Arial"/>
          <w:szCs w:val="20"/>
        </w:rPr>
      </w:pPr>
    </w:p>
    <w:p w14:paraId="30D60E25" w14:textId="77777777" w:rsidR="00FD0A25" w:rsidRPr="006730AC" w:rsidRDefault="00FD0A25" w:rsidP="00CB3EE6">
      <w:pPr>
        <w:jc w:val="both"/>
        <w:rPr>
          <w:rFonts w:cs="Arial"/>
          <w:szCs w:val="20"/>
        </w:rPr>
      </w:pPr>
    </w:p>
    <w:p w14:paraId="1EE96F38" w14:textId="785492F2" w:rsidR="008C30D1" w:rsidRPr="006730AC" w:rsidRDefault="008C30D1" w:rsidP="006F7AB5">
      <w:pPr>
        <w:pStyle w:val="FINMAGliederungEbene3"/>
      </w:pPr>
      <w:bookmarkStart w:id="47" w:name="_Toc216425796"/>
      <w:r>
        <w:t>Risikokonzentrationen aus Kredit</w:t>
      </w:r>
      <w:r w:rsidR="00764E6A">
        <w:t>- und Ausfallrisikokonzentrationen (inkl. Ausserbilanzgeschäft)</w:t>
      </w:r>
      <w:r w:rsidR="00543DCA">
        <w:t xml:space="preserve"> </w:t>
      </w:r>
      <w:r w:rsidR="00DB5BE8">
        <w:t>(GR-</w:t>
      </w:r>
      <w:r w:rsidR="00287F87">
        <w:t>29</w:t>
      </w:r>
      <w:r w:rsidR="00543DCA">
        <w:t>)</w:t>
      </w:r>
      <w:bookmarkEnd w:id="47"/>
    </w:p>
    <w:p w14:paraId="7C5C7FA5"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7CABE2B8" w14:textId="77777777" w:rsidTr="0036650A">
        <w:trPr>
          <w:trHeight w:val="563"/>
        </w:trPr>
        <w:tc>
          <w:tcPr>
            <w:tcW w:w="1932" w:type="dxa"/>
          </w:tcPr>
          <w:p w14:paraId="0399E80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6735C"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F647A11"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036A32F5" w14:textId="77777777" w:rsidTr="0036650A">
        <w:trPr>
          <w:trHeight w:val="698"/>
        </w:trPr>
        <w:tc>
          <w:tcPr>
            <w:tcW w:w="1932" w:type="dxa"/>
          </w:tcPr>
          <w:p w14:paraId="6925B97B" w14:textId="3C2FD610"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6749A1A3"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ECAD105"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15C16863"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CE60F4"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21AA7041" w14:textId="77777777" w:rsidTr="0036650A">
        <w:trPr>
          <w:trHeight w:val="636"/>
        </w:trPr>
        <w:tc>
          <w:tcPr>
            <w:tcW w:w="9180" w:type="dxa"/>
            <w:gridSpan w:val="4"/>
          </w:tcPr>
          <w:p w14:paraId="1C318AF7" w14:textId="77777777" w:rsidR="00C9046E" w:rsidRDefault="00C9046E" w:rsidP="0036650A">
            <w:pPr>
              <w:jc w:val="both"/>
              <w:rPr>
                <w:rFonts w:ascii="Arial" w:hAnsi="Arial" w:cs="Arial"/>
                <w:sz w:val="18"/>
                <w:szCs w:val="18"/>
              </w:rPr>
            </w:pPr>
          </w:p>
          <w:p w14:paraId="33ACF4C8"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D376856" w14:textId="65C9D956" w:rsidR="00C9046E" w:rsidRPr="009872F3" w:rsidRDefault="00C9046E" w:rsidP="0036650A">
            <w:pPr>
              <w:jc w:val="both"/>
              <w:rPr>
                <w:rFonts w:ascii="Arial" w:hAnsi="Arial" w:cs="Arial"/>
                <w:sz w:val="18"/>
                <w:szCs w:val="18"/>
              </w:rPr>
            </w:pPr>
            <w:r w:rsidRPr="004621DB">
              <w:rPr>
                <w:rFonts w:ascii="Arial" w:hAnsi="Arial" w:cs="Arial"/>
                <w:sz w:val="18"/>
                <w:szCs w:val="18"/>
                <w:highlight w:val="yellow"/>
              </w:rPr>
              <w:t>Art. 7</w:t>
            </w:r>
            <w:r w:rsidR="000718F2" w:rsidRPr="004621DB">
              <w:rPr>
                <w:rFonts w:ascii="Arial" w:hAnsi="Arial" w:cs="Arial"/>
                <w:sz w:val="18"/>
                <w:szCs w:val="18"/>
                <w:highlight w:val="yellow"/>
              </w:rPr>
              <w:t>9</w:t>
            </w:r>
            <w:r w:rsidRPr="004621DB">
              <w:rPr>
                <w:rFonts w:ascii="Arial" w:hAnsi="Arial" w:cs="Arial"/>
                <w:sz w:val="18"/>
                <w:szCs w:val="18"/>
                <w:highlight w:val="yellow"/>
              </w:rPr>
              <w:t xml:space="preserve"> BankG; </w:t>
            </w:r>
            <w:r w:rsidR="00F9461A" w:rsidRPr="00A938AE">
              <w:rPr>
                <w:rFonts w:ascii="Arial" w:hAnsi="Arial" w:cs="Arial"/>
                <w:sz w:val="18"/>
                <w:szCs w:val="18"/>
                <w:highlight w:val="yellow"/>
              </w:rPr>
              <w:t xml:space="preserve">Art. 16 BankV, Art. 17 BankV, </w:t>
            </w:r>
            <w:r w:rsidR="000718F2" w:rsidRPr="004621DB">
              <w:rPr>
                <w:rFonts w:ascii="Arial" w:hAnsi="Arial" w:cs="Arial"/>
                <w:sz w:val="18"/>
                <w:szCs w:val="18"/>
                <w:highlight w:val="yellow"/>
              </w:rPr>
              <w:t xml:space="preserve">Art. 19 BankV, </w:t>
            </w:r>
            <w:r w:rsidR="00F9461A" w:rsidRPr="004621DB">
              <w:rPr>
                <w:rFonts w:ascii="Arial" w:hAnsi="Arial" w:cs="Arial"/>
                <w:sz w:val="18"/>
                <w:szCs w:val="18"/>
                <w:highlight w:val="yellow"/>
              </w:rPr>
              <w:t xml:space="preserve">Art. </w:t>
            </w:r>
            <w:r w:rsidR="004621DB" w:rsidRPr="00A938AE">
              <w:rPr>
                <w:rFonts w:ascii="Arial" w:hAnsi="Arial" w:cs="Arial"/>
                <w:sz w:val="18"/>
                <w:szCs w:val="18"/>
                <w:highlight w:val="yellow"/>
              </w:rPr>
              <w:t xml:space="preserve">37 BankV, </w:t>
            </w:r>
            <w:r w:rsidR="00C02D6E">
              <w:rPr>
                <w:rFonts w:ascii="Arial" w:hAnsi="Arial" w:cs="Arial"/>
                <w:sz w:val="18"/>
                <w:szCs w:val="18"/>
                <w:highlight w:val="yellow"/>
              </w:rPr>
              <w:t xml:space="preserve">Art. 10-11 BankV, </w:t>
            </w:r>
            <w:r w:rsidRPr="00CB3EE6">
              <w:rPr>
                <w:rFonts w:ascii="Arial" w:hAnsi="Arial" w:cs="Arial"/>
                <w:sz w:val="18"/>
                <w:szCs w:val="18"/>
                <w:highlight w:val="yellow"/>
              </w:rPr>
              <w:t>-</w:t>
            </w:r>
            <w:r w:rsidR="004621DB">
              <w:rPr>
                <w:rFonts w:ascii="Arial" w:hAnsi="Arial" w:cs="Arial"/>
                <w:sz w:val="18"/>
                <w:szCs w:val="18"/>
                <w:highlight w:val="yellow"/>
              </w:rPr>
              <w:t>FMA-</w:t>
            </w:r>
            <w:r w:rsidRPr="00CB3EE6">
              <w:rPr>
                <w:rFonts w:ascii="Arial" w:hAnsi="Arial" w:cs="Arial"/>
                <w:sz w:val="18"/>
                <w:szCs w:val="18"/>
                <w:highlight w:val="yellow"/>
              </w:rPr>
              <w:t>Mitteilung 2017/4 (inkl. regulatorische Grundlagen im Anhang)</w:t>
            </w:r>
            <w:r w:rsidR="009E273B">
              <w:rPr>
                <w:rFonts w:ascii="Arial" w:hAnsi="Arial" w:cs="Arial"/>
                <w:sz w:val="18"/>
                <w:szCs w:val="18"/>
                <w:highlight w:val="yellow"/>
              </w:rPr>
              <w:t>; EBA/GL/2021/05</w:t>
            </w:r>
          </w:p>
        </w:tc>
      </w:tr>
      <w:tr w:rsidR="00C9046E" w:rsidRPr="009872F3" w14:paraId="1C2B8DC3" w14:textId="77777777" w:rsidTr="0036650A">
        <w:trPr>
          <w:trHeight w:val="294"/>
        </w:trPr>
        <w:tc>
          <w:tcPr>
            <w:tcW w:w="9180" w:type="dxa"/>
            <w:gridSpan w:val="4"/>
          </w:tcPr>
          <w:p w14:paraId="22A12C41" w14:textId="77777777" w:rsidR="00C9046E" w:rsidRPr="009872F3" w:rsidRDefault="00C9046E" w:rsidP="0036650A">
            <w:pPr>
              <w:jc w:val="both"/>
              <w:rPr>
                <w:rFonts w:ascii="Arial" w:hAnsi="Arial" w:cs="Arial"/>
                <w:sz w:val="18"/>
                <w:szCs w:val="18"/>
              </w:rPr>
            </w:pPr>
          </w:p>
        </w:tc>
      </w:tr>
      <w:tr w:rsidR="00C9046E" w:rsidRPr="009872F3" w14:paraId="6C2DED74" w14:textId="77777777" w:rsidTr="0036650A">
        <w:tc>
          <w:tcPr>
            <w:tcW w:w="5798" w:type="dxa"/>
            <w:gridSpan w:val="3"/>
          </w:tcPr>
          <w:p w14:paraId="4DEA24A4"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angemessen ausgestaltet ist.</w:t>
            </w:r>
          </w:p>
        </w:tc>
        <w:tc>
          <w:tcPr>
            <w:tcW w:w="3382" w:type="dxa"/>
          </w:tcPr>
          <w:p w14:paraId="2A8C8743"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50082B4" w14:textId="77777777" w:rsidTr="0036650A">
        <w:tc>
          <w:tcPr>
            <w:tcW w:w="5798" w:type="dxa"/>
            <w:gridSpan w:val="3"/>
          </w:tcPr>
          <w:p w14:paraId="38FB6C5C"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078CA95"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714E578D" w14:textId="77777777" w:rsidTr="0036650A">
        <w:tc>
          <w:tcPr>
            <w:tcW w:w="5798" w:type="dxa"/>
            <w:gridSpan w:val="3"/>
          </w:tcPr>
          <w:p w14:paraId="0FA325A9"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Kredit- und Ausfallrisikokonzentrationen (inkl. Ausserbilanzgeschäft)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00E877F3"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581B7DB"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3EEA886" w14:textId="77777777" w:rsidTr="0036650A">
        <w:tc>
          <w:tcPr>
            <w:tcW w:w="2660" w:type="dxa"/>
          </w:tcPr>
          <w:p w14:paraId="3C7726B3"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46836"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7329AEBA" w14:textId="77777777" w:rsidTr="0036650A">
        <w:tc>
          <w:tcPr>
            <w:tcW w:w="2660" w:type="dxa"/>
          </w:tcPr>
          <w:p w14:paraId="15C3EC68"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8510F73" w14:textId="77777777" w:rsidR="00D8345E" w:rsidRDefault="00D8345E" w:rsidP="00D8345E">
            <w:pPr>
              <w:jc w:val="both"/>
              <w:rPr>
                <w:rFonts w:ascii="Arial" w:hAnsi="Arial" w:cs="Arial"/>
                <w:i/>
                <w:sz w:val="20"/>
                <w:szCs w:val="20"/>
                <w:highlight w:val="lightGray"/>
              </w:rPr>
            </w:pPr>
          </w:p>
          <w:p w14:paraId="78CA750F"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9F9A8D4"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9CE818A"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124C71A3" w14:textId="131C3549"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9B0404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199E90E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58ED201" w14:textId="77777777" w:rsidTr="0036650A">
        <w:tc>
          <w:tcPr>
            <w:tcW w:w="2660" w:type="dxa"/>
          </w:tcPr>
          <w:p w14:paraId="21211A5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0DFC76B7" w14:textId="77777777" w:rsidR="0074539F" w:rsidRPr="00CE3194" w:rsidRDefault="0074539F" w:rsidP="0036650A">
            <w:pPr>
              <w:jc w:val="both"/>
              <w:rPr>
                <w:rFonts w:ascii="Arial" w:hAnsi="Arial" w:cs="Arial"/>
                <w:i/>
                <w:sz w:val="20"/>
                <w:szCs w:val="20"/>
                <w:highlight w:val="lightGray"/>
              </w:rPr>
            </w:pPr>
          </w:p>
        </w:tc>
        <w:tc>
          <w:tcPr>
            <w:tcW w:w="6520" w:type="dxa"/>
          </w:tcPr>
          <w:p w14:paraId="29630EAB" w14:textId="0BA39A2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583674D6" w14:textId="3C34DC8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3C2D10DB" w14:textId="52FD0AE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27EC769B"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3B1EFC83" w14:textId="77777777" w:rsidTr="0036650A">
        <w:tc>
          <w:tcPr>
            <w:tcW w:w="2660" w:type="dxa"/>
          </w:tcPr>
          <w:p w14:paraId="431B44F5"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0831479E" w14:textId="04A16994"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65953F5B"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9AC606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54FBEB52"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750C17BA"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5F7F8BB1" w14:textId="1E5E7356"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w:t>
            </w:r>
            <w:r w:rsidRPr="0099798B">
              <w:rPr>
                <w:rFonts w:cs="Arial"/>
                <w:i/>
                <w:szCs w:val="20"/>
                <w:highlight w:val="lightGray"/>
              </w:rPr>
              <w:t xml:space="preserve">in die Gesamtrisikotragfähigkeit der </w:t>
            </w:r>
            <w:r w:rsidR="004D5057" w:rsidRPr="0099798B">
              <w:rPr>
                <w:rFonts w:cs="Arial"/>
                <w:i/>
                <w:szCs w:val="20"/>
                <w:highlight w:val="lightGray"/>
              </w:rPr>
              <w:t xml:space="preserve">Bank bzw. der Gruppe </w:t>
            </w:r>
            <w:r w:rsidRPr="0099798B">
              <w:rPr>
                <w:rFonts w:cs="Arial"/>
                <w:i/>
                <w:szCs w:val="20"/>
                <w:highlight w:val="lightGray"/>
              </w:rPr>
              <w:t>mit ein</w:t>
            </w:r>
            <w:r w:rsidR="00380AE2" w:rsidRPr="0099798B">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2ECA070E" w14:textId="77777777" w:rsidR="00C9046E" w:rsidRDefault="00C9046E" w:rsidP="00CB3EE6">
      <w:pPr>
        <w:jc w:val="both"/>
        <w:rPr>
          <w:rFonts w:cs="Arial"/>
          <w:szCs w:val="20"/>
        </w:rPr>
      </w:pPr>
    </w:p>
    <w:p w14:paraId="177D794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3A286CA" w14:textId="77777777" w:rsidR="00E70DF4" w:rsidRDefault="00E70DF4" w:rsidP="00CB3EE6">
      <w:pPr>
        <w:jc w:val="both"/>
        <w:rPr>
          <w:rFonts w:cs="Arial"/>
          <w:szCs w:val="20"/>
        </w:rPr>
      </w:pPr>
    </w:p>
    <w:p w14:paraId="4D19BFBC" w14:textId="77777777" w:rsidR="00C9046E" w:rsidRPr="006730AC" w:rsidRDefault="00C9046E" w:rsidP="00CB3EE6">
      <w:pPr>
        <w:jc w:val="both"/>
        <w:rPr>
          <w:rFonts w:cs="Arial"/>
          <w:szCs w:val="20"/>
        </w:rPr>
      </w:pPr>
    </w:p>
    <w:p w14:paraId="6FDD6CA8" w14:textId="287B6C8E" w:rsidR="008C30D1" w:rsidRPr="006730AC" w:rsidRDefault="008C30D1" w:rsidP="006F7AB5">
      <w:pPr>
        <w:pStyle w:val="FINMAGliederungEbene3"/>
      </w:pPr>
      <w:bookmarkStart w:id="48" w:name="_Toc216425797"/>
      <w:r>
        <w:t>Risikokonzentrationen aus Marktrisiken</w:t>
      </w:r>
      <w:r w:rsidR="00543DCA">
        <w:t xml:space="preserve"> </w:t>
      </w:r>
      <w:r w:rsidR="00DB5BE8">
        <w:t>(GR-3</w:t>
      </w:r>
      <w:r w:rsidR="00287F87">
        <w:t>0</w:t>
      </w:r>
      <w:r w:rsidR="00543DCA">
        <w:t>)</w:t>
      </w:r>
      <w:bookmarkEnd w:id="48"/>
    </w:p>
    <w:p w14:paraId="1C9E4F50"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2D68A59A" w14:textId="77777777" w:rsidTr="0036650A">
        <w:trPr>
          <w:trHeight w:val="563"/>
        </w:trPr>
        <w:tc>
          <w:tcPr>
            <w:tcW w:w="1932" w:type="dxa"/>
          </w:tcPr>
          <w:p w14:paraId="0055614B"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66823AAF"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D122D82"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4F260674" w14:textId="77777777" w:rsidTr="0036650A">
        <w:trPr>
          <w:trHeight w:val="698"/>
        </w:trPr>
        <w:tc>
          <w:tcPr>
            <w:tcW w:w="1932" w:type="dxa"/>
          </w:tcPr>
          <w:p w14:paraId="22A5C277" w14:textId="1233F351"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4C220793"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0898305"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67430E1"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2840E50"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0D3A949F" w14:textId="77777777" w:rsidTr="0036650A">
        <w:trPr>
          <w:trHeight w:val="636"/>
        </w:trPr>
        <w:tc>
          <w:tcPr>
            <w:tcW w:w="9180" w:type="dxa"/>
            <w:gridSpan w:val="4"/>
          </w:tcPr>
          <w:p w14:paraId="00D25F7E" w14:textId="77777777" w:rsidR="00C9046E" w:rsidRDefault="00C9046E" w:rsidP="0036650A">
            <w:pPr>
              <w:jc w:val="both"/>
              <w:rPr>
                <w:rFonts w:ascii="Arial" w:hAnsi="Arial" w:cs="Arial"/>
                <w:sz w:val="18"/>
                <w:szCs w:val="18"/>
              </w:rPr>
            </w:pPr>
          </w:p>
          <w:p w14:paraId="21A625F7"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7E0B2941" w14:textId="6066D9C0" w:rsidR="00C9046E" w:rsidRPr="009872F3" w:rsidRDefault="00F9461A" w:rsidP="0036650A">
            <w:pPr>
              <w:jc w:val="both"/>
              <w:rPr>
                <w:rFonts w:ascii="Arial" w:hAnsi="Arial" w:cs="Arial"/>
                <w:sz w:val="18"/>
                <w:szCs w:val="18"/>
              </w:rPr>
            </w:pPr>
            <w:r w:rsidRPr="00CB3EE6">
              <w:rPr>
                <w:rFonts w:ascii="Arial" w:hAnsi="Arial" w:cs="Arial"/>
                <w:sz w:val="18"/>
                <w:szCs w:val="18"/>
                <w:highlight w:val="yellow"/>
              </w:rPr>
              <w:t>Art. 7</w:t>
            </w:r>
            <w:r>
              <w:rPr>
                <w:rFonts w:ascii="Arial" w:hAnsi="Arial" w:cs="Arial"/>
                <w:sz w:val="18"/>
                <w:szCs w:val="18"/>
                <w:highlight w:val="yellow"/>
              </w:rPr>
              <w:t>9</w:t>
            </w:r>
            <w:r w:rsidRPr="00CB3EE6">
              <w:rPr>
                <w:rFonts w:ascii="Arial" w:hAnsi="Arial" w:cs="Arial"/>
                <w:sz w:val="18"/>
                <w:szCs w:val="18"/>
                <w:highlight w:val="yellow"/>
              </w:rPr>
              <w:t xml:space="preserve"> BankG; </w:t>
            </w:r>
            <w:r>
              <w:rPr>
                <w:rFonts w:ascii="Arial" w:hAnsi="Arial" w:cs="Arial"/>
                <w:sz w:val="18"/>
                <w:szCs w:val="18"/>
                <w:highlight w:val="yellow"/>
              </w:rPr>
              <w:t xml:space="preserve">Art. 16 BankV, Art. 21 BankV, </w:t>
            </w:r>
            <w:r w:rsidR="00C02D6E">
              <w:rPr>
                <w:rFonts w:ascii="Arial" w:hAnsi="Arial" w:cs="Arial"/>
                <w:sz w:val="18"/>
                <w:szCs w:val="18"/>
                <w:highlight w:val="yellow"/>
              </w:rPr>
              <w:t xml:space="preserve">Art. 10-11 BankV, </w:t>
            </w:r>
            <w:r w:rsidR="00C9046E"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C9046E" w:rsidRPr="009872F3" w14:paraId="70E3BDA0" w14:textId="77777777" w:rsidTr="0036650A">
        <w:trPr>
          <w:trHeight w:val="294"/>
        </w:trPr>
        <w:tc>
          <w:tcPr>
            <w:tcW w:w="9180" w:type="dxa"/>
            <w:gridSpan w:val="4"/>
          </w:tcPr>
          <w:p w14:paraId="1B644625" w14:textId="77777777" w:rsidR="00C9046E" w:rsidRPr="009872F3" w:rsidRDefault="00C9046E" w:rsidP="0036650A">
            <w:pPr>
              <w:jc w:val="both"/>
              <w:rPr>
                <w:rFonts w:ascii="Arial" w:hAnsi="Arial" w:cs="Arial"/>
                <w:sz w:val="18"/>
                <w:szCs w:val="18"/>
              </w:rPr>
            </w:pPr>
          </w:p>
        </w:tc>
      </w:tr>
      <w:tr w:rsidR="00C9046E" w:rsidRPr="009872F3" w14:paraId="52E4F15A" w14:textId="77777777" w:rsidTr="0036650A">
        <w:tc>
          <w:tcPr>
            <w:tcW w:w="5798" w:type="dxa"/>
            <w:gridSpan w:val="3"/>
          </w:tcPr>
          <w:p w14:paraId="6BEE8833"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Marktrisiken </w:t>
            </w:r>
            <w:r w:rsidRPr="00C1307E">
              <w:rPr>
                <w:rFonts w:ascii="Arial" w:hAnsi="Arial" w:cs="Arial"/>
                <w:sz w:val="18"/>
                <w:szCs w:val="18"/>
              </w:rPr>
              <w:t>angemessen ausgestaltet ist.</w:t>
            </w:r>
          </w:p>
        </w:tc>
        <w:tc>
          <w:tcPr>
            <w:tcW w:w="3382" w:type="dxa"/>
          </w:tcPr>
          <w:p w14:paraId="38EC0E14"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09A56537" w14:textId="77777777" w:rsidTr="0036650A">
        <w:tc>
          <w:tcPr>
            <w:tcW w:w="5798" w:type="dxa"/>
            <w:gridSpan w:val="3"/>
          </w:tcPr>
          <w:p w14:paraId="340BEC9A"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Marktrisiken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4880A0CB"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6FE9D683" w14:textId="77777777" w:rsidTr="0036650A">
        <w:tc>
          <w:tcPr>
            <w:tcW w:w="5798" w:type="dxa"/>
            <w:gridSpan w:val="3"/>
          </w:tcPr>
          <w:p w14:paraId="29289DD0"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Marktrisiken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63AFC32"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78D76350"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651C1FD2" w14:textId="77777777" w:rsidTr="0036650A">
        <w:tc>
          <w:tcPr>
            <w:tcW w:w="2660" w:type="dxa"/>
          </w:tcPr>
          <w:p w14:paraId="7A09DA7C"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70FD2F0"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040609CD" w14:textId="77777777" w:rsidTr="0036650A">
        <w:tc>
          <w:tcPr>
            <w:tcW w:w="2660" w:type="dxa"/>
          </w:tcPr>
          <w:p w14:paraId="02FDA4F1"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57AD695F" w14:textId="77777777" w:rsidR="00D8345E" w:rsidRDefault="00D8345E" w:rsidP="00D8345E">
            <w:pPr>
              <w:jc w:val="both"/>
              <w:rPr>
                <w:rFonts w:ascii="Arial" w:hAnsi="Arial" w:cs="Arial"/>
                <w:i/>
                <w:sz w:val="20"/>
                <w:szCs w:val="20"/>
                <w:highlight w:val="lightGray"/>
              </w:rPr>
            </w:pPr>
          </w:p>
          <w:p w14:paraId="32B047B8"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FBC1F08"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5EFF50CB"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03CB6241" w14:textId="5098DE71"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2C84F74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410652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C6A348C" w14:textId="77777777" w:rsidTr="0036650A">
        <w:tc>
          <w:tcPr>
            <w:tcW w:w="2660" w:type="dxa"/>
          </w:tcPr>
          <w:p w14:paraId="76B2B584"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40EA8410" w14:textId="77777777" w:rsidR="0074539F" w:rsidRPr="00CE3194" w:rsidRDefault="0074539F" w:rsidP="0036650A">
            <w:pPr>
              <w:jc w:val="both"/>
              <w:rPr>
                <w:rFonts w:ascii="Arial" w:hAnsi="Arial" w:cs="Arial"/>
                <w:i/>
                <w:sz w:val="20"/>
                <w:szCs w:val="20"/>
                <w:highlight w:val="lightGray"/>
              </w:rPr>
            </w:pPr>
          </w:p>
        </w:tc>
        <w:tc>
          <w:tcPr>
            <w:tcW w:w="6520" w:type="dxa"/>
          </w:tcPr>
          <w:p w14:paraId="7FD91E12" w14:textId="64BC815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47638496" w14:textId="139A85A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4FE245A2" w14:textId="2A06CB3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36963B3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480C5D24" w14:textId="77777777" w:rsidTr="0036650A">
        <w:tc>
          <w:tcPr>
            <w:tcW w:w="2660" w:type="dxa"/>
          </w:tcPr>
          <w:p w14:paraId="516EC5F6"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1AD45D0" w14:textId="48A1C79C"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0F5BEF11"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4EF22FC"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51E0625"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78653AA"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BDEA929" w14:textId="2EBA408B"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1D5E005A" w14:textId="77777777" w:rsidR="00C9046E" w:rsidRDefault="00C9046E" w:rsidP="00CB3EE6">
      <w:pPr>
        <w:jc w:val="both"/>
        <w:rPr>
          <w:rFonts w:cs="Arial"/>
          <w:szCs w:val="20"/>
        </w:rPr>
      </w:pPr>
    </w:p>
    <w:p w14:paraId="3A40411B"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4E0E7C6E" w14:textId="77777777" w:rsidR="00E70DF4" w:rsidRDefault="00E70DF4" w:rsidP="00CB3EE6">
      <w:pPr>
        <w:jc w:val="both"/>
        <w:rPr>
          <w:rFonts w:cs="Arial"/>
          <w:szCs w:val="20"/>
        </w:rPr>
      </w:pPr>
    </w:p>
    <w:p w14:paraId="1CC856B7" w14:textId="77777777" w:rsidR="00C9046E" w:rsidRPr="006730AC" w:rsidRDefault="00C9046E" w:rsidP="00CB3EE6">
      <w:pPr>
        <w:jc w:val="both"/>
        <w:rPr>
          <w:rFonts w:cs="Arial"/>
          <w:szCs w:val="20"/>
        </w:rPr>
      </w:pPr>
    </w:p>
    <w:p w14:paraId="4CB35A49" w14:textId="3A4AE3D9" w:rsidR="008C30D1" w:rsidRPr="006730AC" w:rsidRDefault="008C30D1" w:rsidP="006F7AB5">
      <w:pPr>
        <w:pStyle w:val="FINMAGliederungEbene3"/>
      </w:pPr>
      <w:bookmarkStart w:id="49" w:name="_Toc216425798"/>
      <w:r>
        <w:t>Risikokonzentrationen aus operationellen Risiken</w:t>
      </w:r>
      <w:r w:rsidR="00543DCA">
        <w:t xml:space="preserve"> </w:t>
      </w:r>
      <w:r w:rsidR="00DB5BE8">
        <w:t>(GR-3</w:t>
      </w:r>
      <w:r w:rsidR="00287F87">
        <w:t>1</w:t>
      </w:r>
      <w:r w:rsidR="00543DCA">
        <w:t>)</w:t>
      </w:r>
      <w:bookmarkEnd w:id="49"/>
    </w:p>
    <w:p w14:paraId="179B7804"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4E5D0E68" w14:textId="77777777" w:rsidTr="0036650A">
        <w:trPr>
          <w:trHeight w:val="563"/>
        </w:trPr>
        <w:tc>
          <w:tcPr>
            <w:tcW w:w="1932" w:type="dxa"/>
          </w:tcPr>
          <w:p w14:paraId="4257EE98"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42691F7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5E85DA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B727637" w14:textId="77777777" w:rsidTr="0036650A">
        <w:trPr>
          <w:trHeight w:val="698"/>
        </w:trPr>
        <w:tc>
          <w:tcPr>
            <w:tcW w:w="1932" w:type="dxa"/>
          </w:tcPr>
          <w:p w14:paraId="62FE7D9A" w14:textId="6E0A132F"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8256445"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D84976A"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52B18A02"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0085A07"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6901CCB1" w14:textId="77777777" w:rsidTr="0036650A">
        <w:trPr>
          <w:trHeight w:val="636"/>
        </w:trPr>
        <w:tc>
          <w:tcPr>
            <w:tcW w:w="9180" w:type="dxa"/>
            <w:gridSpan w:val="4"/>
          </w:tcPr>
          <w:p w14:paraId="512DF43F" w14:textId="77777777" w:rsidR="00C9046E" w:rsidRDefault="00C9046E" w:rsidP="0036650A">
            <w:pPr>
              <w:jc w:val="both"/>
              <w:rPr>
                <w:rFonts w:ascii="Arial" w:hAnsi="Arial" w:cs="Arial"/>
                <w:sz w:val="18"/>
                <w:szCs w:val="18"/>
              </w:rPr>
            </w:pPr>
          </w:p>
          <w:p w14:paraId="6AFFFB50" w14:textId="77777777" w:rsidR="00C9046E" w:rsidRDefault="00C9046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79591183" w14:textId="4A1F1905" w:rsidR="00C9046E" w:rsidRPr="009872F3" w:rsidRDefault="00F9461A" w:rsidP="0036650A">
            <w:pPr>
              <w:jc w:val="both"/>
              <w:rPr>
                <w:rFonts w:ascii="Arial" w:hAnsi="Arial" w:cs="Arial"/>
                <w:sz w:val="18"/>
                <w:szCs w:val="18"/>
              </w:rPr>
            </w:pPr>
            <w:r w:rsidRPr="00F9461A">
              <w:rPr>
                <w:rFonts w:ascii="Arial" w:hAnsi="Arial" w:cs="Arial"/>
                <w:sz w:val="18"/>
                <w:szCs w:val="18"/>
                <w:highlight w:val="yellow"/>
              </w:rPr>
              <w:t xml:space="preserve">Art. 79 BankG; Art. 16 BankV, </w:t>
            </w:r>
            <w:r w:rsidRPr="004621DB">
              <w:rPr>
                <w:rFonts w:ascii="Arial" w:hAnsi="Arial" w:cs="Arial"/>
                <w:sz w:val="18"/>
                <w:szCs w:val="18"/>
                <w:highlight w:val="yellow"/>
              </w:rPr>
              <w:t>Art.</w:t>
            </w:r>
            <w:r w:rsidRPr="00A938AE">
              <w:rPr>
                <w:rFonts w:ascii="Arial" w:hAnsi="Arial" w:cs="Arial"/>
                <w:sz w:val="18"/>
                <w:szCs w:val="18"/>
                <w:highlight w:val="yellow"/>
              </w:rPr>
              <w:t xml:space="preserve"> 23 BankV</w:t>
            </w:r>
            <w:r w:rsidR="00C02D6E">
              <w:rPr>
                <w:rFonts w:ascii="Arial" w:hAnsi="Arial" w:cs="Arial"/>
                <w:sz w:val="18"/>
                <w:szCs w:val="18"/>
                <w:highlight w:val="yellow"/>
              </w:rPr>
              <w:t xml:space="preserve">, Art. 10-11 BankV, </w:t>
            </w:r>
            <w:r w:rsidRPr="00F9461A">
              <w:rPr>
                <w:rFonts w:ascii="Arial" w:hAnsi="Arial" w:cs="Arial"/>
                <w:sz w:val="18"/>
                <w:szCs w:val="18"/>
                <w:highlight w:val="yellow"/>
              </w:rPr>
              <w:t xml:space="preserve">  </w:t>
            </w:r>
            <w:r w:rsidR="00C9046E"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C9046E" w:rsidRPr="009872F3" w14:paraId="4EB01431" w14:textId="77777777" w:rsidTr="0036650A">
        <w:trPr>
          <w:trHeight w:val="294"/>
        </w:trPr>
        <w:tc>
          <w:tcPr>
            <w:tcW w:w="9180" w:type="dxa"/>
            <w:gridSpan w:val="4"/>
          </w:tcPr>
          <w:p w14:paraId="0516971E" w14:textId="77777777" w:rsidR="00C9046E" w:rsidRPr="009872F3" w:rsidRDefault="00C9046E" w:rsidP="0036650A">
            <w:pPr>
              <w:jc w:val="both"/>
              <w:rPr>
                <w:rFonts w:ascii="Arial" w:hAnsi="Arial" w:cs="Arial"/>
                <w:sz w:val="18"/>
                <w:szCs w:val="18"/>
              </w:rPr>
            </w:pPr>
          </w:p>
        </w:tc>
      </w:tr>
      <w:tr w:rsidR="00C9046E" w:rsidRPr="009872F3" w14:paraId="1C5100EE" w14:textId="77777777" w:rsidTr="0036650A">
        <w:tc>
          <w:tcPr>
            <w:tcW w:w="5798" w:type="dxa"/>
            <w:gridSpan w:val="3"/>
          </w:tcPr>
          <w:p w14:paraId="540381C7"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angemessen ausgestaltet ist.</w:t>
            </w:r>
          </w:p>
        </w:tc>
        <w:tc>
          <w:tcPr>
            <w:tcW w:w="3382" w:type="dxa"/>
          </w:tcPr>
          <w:p w14:paraId="2596914D"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1922A4AE" w14:textId="77777777" w:rsidTr="0036650A">
        <w:tc>
          <w:tcPr>
            <w:tcW w:w="5798" w:type="dxa"/>
            <w:gridSpan w:val="3"/>
          </w:tcPr>
          <w:p w14:paraId="6A9D68A6"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 xml:space="preserve">Risikokonzentrationen aus operationellen Risiken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33C49F5E"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5C478BD0" w14:textId="77777777" w:rsidTr="0036650A">
        <w:tc>
          <w:tcPr>
            <w:tcW w:w="5798" w:type="dxa"/>
            <w:gridSpan w:val="3"/>
          </w:tcPr>
          <w:p w14:paraId="61145E48"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Risikokonzentrationen aus operationellen 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571DD66"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FCB8AC5"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21D2EB00" w14:textId="77777777" w:rsidTr="0036650A">
        <w:tc>
          <w:tcPr>
            <w:tcW w:w="2660" w:type="dxa"/>
          </w:tcPr>
          <w:p w14:paraId="7E978A18"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699B574"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469B7AE6" w14:textId="77777777" w:rsidTr="0036650A">
        <w:tc>
          <w:tcPr>
            <w:tcW w:w="2660" w:type="dxa"/>
          </w:tcPr>
          <w:p w14:paraId="338E19E5"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lastRenderedPageBreak/>
              <w:t xml:space="preserve">Interne Organisation </w:t>
            </w:r>
          </w:p>
          <w:p w14:paraId="6D843730" w14:textId="77777777" w:rsidR="00D8345E" w:rsidRDefault="00D8345E" w:rsidP="00D8345E">
            <w:pPr>
              <w:jc w:val="both"/>
              <w:rPr>
                <w:rFonts w:ascii="Arial" w:hAnsi="Arial" w:cs="Arial"/>
                <w:i/>
                <w:sz w:val="20"/>
                <w:szCs w:val="20"/>
                <w:highlight w:val="lightGray"/>
              </w:rPr>
            </w:pPr>
          </w:p>
          <w:p w14:paraId="044613D8"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0F73EC0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D33C3D4"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5EC87AF" w14:textId="61ADB0A6"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E1E458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3A5E16BF"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37BF465" w14:textId="77777777" w:rsidTr="0036650A">
        <w:tc>
          <w:tcPr>
            <w:tcW w:w="2660" w:type="dxa"/>
          </w:tcPr>
          <w:p w14:paraId="55C69767"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EAB400E" w14:textId="77777777" w:rsidR="0074539F" w:rsidRPr="00CE3194" w:rsidRDefault="0074539F" w:rsidP="0036650A">
            <w:pPr>
              <w:jc w:val="both"/>
              <w:rPr>
                <w:rFonts w:ascii="Arial" w:hAnsi="Arial" w:cs="Arial"/>
                <w:i/>
                <w:sz w:val="20"/>
                <w:szCs w:val="20"/>
                <w:highlight w:val="lightGray"/>
              </w:rPr>
            </w:pPr>
          </w:p>
        </w:tc>
        <w:tc>
          <w:tcPr>
            <w:tcW w:w="6520" w:type="dxa"/>
          </w:tcPr>
          <w:p w14:paraId="4AC539AB" w14:textId="260FB33A"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B423422" w14:textId="5F5EC3B1"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05D6BC1F" w14:textId="51865303"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9FB947B"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A430D29" w14:textId="77777777" w:rsidTr="0036650A">
        <w:tc>
          <w:tcPr>
            <w:tcW w:w="2660" w:type="dxa"/>
          </w:tcPr>
          <w:p w14:paraId="255BABFF"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48E21F4A" w14:textId="46EA0EDE"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25D748EE"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F158D47"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08D9CD30"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800B720"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6A16F99" w14:textId="435B8CD0"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w:t>
            </w:r>
            <w:r w:rsidRPr="0099798B">
              <w:rPr>
                <w:rFonts w:cs="Arial"/>
                <w:i/>
                <w:szCs w:val="20"/>
                <w:highlight w:val="lightGray"/>
              </w:rPr>
              <w:t xml:space="preserve">sowie in die Gesamtrisikotragfähigkeit der </w:t>
            </w:r>
            <w:r w:rsidR="004D5057" w:rsidRPr="0099798B">
              <w:rPr>
                <w:rFonts w:cs="Arial"/>
                <w:i/>
                <w:szCs w:val="20"/>
                <w:highlight w:val="lightGray"/>
              </w:rPr>
              <w:t xml:space="preserve">Bank bzw. der Gruppe </w:t>
            </w:r>
            <w:r w:rsidRPr="0099798B">
              <w:rPr>
                <w:rFonts w:cs="Arial"/>
                <w:i/>
                <w:szCs w:val="20"/>
                <w:highlight w:val="lightGray"/>
              </w:rPr>
              <w:t>mit ein</w:t>
            </w:r>
            <w:r w:rsidR="00380AE2" w:rsidRPr="0099798B">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195CA9CD" w14:textId="77777777" w:rsidR="00C9046E" w:rsidRDefault="00C9046E" w:rsidP="00CB3EE6">
      <w:pPr>
        <w:jc w:val="both"/>
        <w:rPr>
          <w:rFonts w:cs="Arial"/>
          <w:szCs w:val="20"/>
        </w:rPr>
      </w:pPr>
    </w:p>
    <w:p w14:paraId="12EAD107"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561ABD2" w14:textId="77777777" w:rsidR="00E70DF4" w:rsidRDefault="00E70DF4" w:rsidP="00CB3EE6">
      <w:pPr>
        <w:jc w:val="both"/>
        <w:rPr>
          <w:rFonts w:cs="Arial"/>
          <w:szCs w:val="20"/>
        </w:rPr>
      </w:pPr>
    </w:p>
    <w:p w14:paraId="1F096C8F" w14:textId="77777777" w:rsidR="00C9046E" w:rsidRPr="006730AC" w:rsidRDefault="00C9046E" w:rsidP="00CB3EE6">
      <w:pPr>
        <w:jc w:val="both"/>
        <w:rPr>
          <w:rFonts w:cs="Arial"/>
          <w:szCs w:val="20"/>
        </w:rPr>
      </w:pPr>
    </w:p>
    <w:p w14:paraId="4796788D" w14:textId="7296013F" w:rsidR="008C30D1" w:rsidRPr="006730AC" w:rsidRDefault="00757204" w:rsidP="006F7AB5">
      <w:pPr>
        <w:pStyle w:val="FINMAGliederungEbene3"/>
      </w:pPr>
      <w:bookmarkStart w:id="50" w:name="_Toc216425799"/>
      <w:r w:rsidRPr="002E5C20">
        <w:rPr>
          <w:highlight w:val="yellow"/>
        </w:rPr>
        <w:t>[</w:t>
      </w:r>
      <w:r w:rsidR="008C30D1" w:rsidRPr="002E5C20">
        <w:rPr>
          <w:highlight w:val="yellow"/>
        </w:rPr>
        <w:t xml:space="preserve">Weitere Risikokonzentrationen von der </w:t>
      </w:r>
      <w:r w:rsidR="009F1ACA" w:rsidRPr="0099798B">
        <w:rPr>
          <w:highlight w:val="yellow"/>
        </w:rPr>
        <w:t>Revisionsstelle</w:t>
      </w:r>
      <w:r w:rsidR="008C30D1" w:rsidRPr="002E5C20">
        <w:rPr>
          <w:highlight w:val="yellow"/>
        </w:rPr>
        <w:t xml:space="preserve"> selber zu definieren</w:t>
      </w:r>
      <w:r w:rsidRPr="002E5C20">
        <w:rPr>
          <w:highlight w:val="yellow"/>
        </w:rPr>
        <w:t>]</w:t>
      </w:r>
      <w:r w:rsidR="00543DCA">
        <w:t xml:space="preserve"> </w:t>
      </w:r>
      <w:r w:rsidR="00DB5BE8">
        <w:t>(GR-3</w:t>
      </w:r>
      <w:r w:rsidR="00287F87">
        <w:t>2</w:t>
      </w:r>
      <w:r w:rsidR="00543DCA">
        <w:t>)</w:t>
      </w:r>
      <w:bookmarkEnd w:id="50"/>
    </w:p>
    <w:p w14:paraId="729B8173" w14:textId="77777777" w:rsidR="00C9046E" w:rsidRDefault="00C9046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C9046E" w:rsidRPr="009872F3" w14:paraId="0C238517" w14:textId="77777777" w:rsidTr="0036650A">
        <w:trPr>
          <w:trHeight w:val="563"/>
        </w:trPr>
        <w:tc>
          <w:tcPr>
            <w:tcW w:w="1932" w:type="dxa"/>
          </w:tcPr>
          <w:p w14:paraId="52C21CE0"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7BDAA034"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D40DB23"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9046E" w:rsidRPr="009872F3" w14:paraId="5EEE7E10" w14:textId="77777777" w:rsidTr="0036650A">
        <w:trPr>
          <w:trHeight w:val="698"/>
        </w:trPr>
        <w:tc>
          <w:tcPr>
            <w:tcW w:w="1932" w:type="dxa"/>
          </w:tcPr>
          <w:p w14:paraId="49B57FBF" w14:textId="138EEB16"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52F2ABA9" w14:textId="77777777" w:rsidR="00C9046E" w:rsidRPr="006749F0" w:rsidRDefault="00C9046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2B0541A" w14:textId="77777777" w:rsidR="00C9046E" w:rsidRPr="009872F3" w:rsidRDefault="00C9046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1973DE5" w14:textId="77777777" w:rsidR="00C9046E" w:rsidRDefault="00C9046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22E2281" w14:textId="77777777" w:rsidR="00C9046E" w:rsidRPr="006749F0" w:rsidRDefault="00C9046E" w:rsidP="0036650A">
            <w:pPr>
              <w:jc w:val="both"/>
              <w:rPr>
                <w:rFonts w:ascii="Arial" w:hAnsi="Arial" w:cs="Arial"/>
                <w:i/>
                <w:sz w:val="18"/>
                <w:szCs w:val="18"/>
              </w:rPr>
            </w:pPr>
            <w:r w:rsidRPr="006749F0">
              <w:rPr>
                <w:rFonts w:ascii="Arial" w:hAnsi="Arial" w:cs="Arial"/>
                <w:i/>
                <w:sz w:val="18"/>
                <w:szCs w:val="18"/>
                <w:highlight w:val="yellow"/>
              </w:rPr>
              <w:t>Jahr</w:t>
            </w:r>
          </w:p>
        </w:tc>
      </w:tr>
      <w:tr w:rsidR="00C9046E" w:rsidRPr="009872F3" w14:paraId="407F812D" w14:textId="77777777" w:rsidTr="0036650A">
        <w:trPr>
          <w:trHeight w:val="636"/>
        </w:trPr>
        <w:tc>
          <w:tcPr>
            <w:tcW w:w="9180" w:type="dxa"/>
            <w:gridSpan w:val="4"/>
          </w:tcPr>
          <w:p w14:paraId="7E6710ED" w14:textId="77777777" w:rsidR="00C9046E" w:rsidRDefault="00C9046E" w:rsidP="0036650A">
            <w:pPr>
              <w:jc w:val="both"/>
              <w:rPr>
                <w:rFonts w:ascii="Arial" w:hAnsi="Arial" w:cs="Arial"/>
                <w:sz w:val="18"/>
                <w:szCs w:val="18"/>
              </w:rPr>
            </w:pPr>
          </w:p>
          <w:p w14:paraId="530145D7" w14:textId="77777777" w:rsidR="00C9046E" w:rsidRDefault="00C9046E" w:rsidP="0036650A">
            <w:pPr>
              <w:jc w:val="both"/>
              <w:rPr>
                <w:rFonts w:ascii="Arial" w:hAnsi="Arial" w:cs="Arial"/>
                <w:sz w:val="18"/>
                <w:szCs w:val="18"/>
              </w:rPr>
            </w:pPr>
            <w:r>
              <w:rPr>
                <w:rFonts w:ascii="Arial" w:hAnsi="Arial" w:cs="Arial"/>
                <w:sz w:val="18"/>
                <w:szCs w:val="18"/>
              </w:rPr>
              <w:t>Referenzen:</w:t>
            </w:r>
          </w:p>
          <w:p w14:paraId="72E118C0" w14:textId="77777777" w:rsidR="00C9046E" w:rsidRPr="009872F3" w:rsidRDefault="00C9046E" w:rsidP="0036650A">
            <w:pPr>
              <w:jc w:val="both"/>
              <w:rPr>
                <w:rFonts w:ascii="Arial" w:hAnsi="Arial" w:cs="Arial"/>
                <w:sz w:val="18"/>
                <w:szCs w:val="18"/>
              </w:rPr>
            </w:pPr>
            <w:r w:rsidRPr="00276C60">
              <w:rPr>
                <w:rFonts w:ascii="Arial" w:hAnsi="Arial" w:cs="Arial"/>
                <w:sz w:val="18"/>
                <w:szCs w:val="18"/>
                <w:highlight w:val="yellow"/>
              </w:rPr>
              <w:t>tbd</w:t>
            </w:r>
          </w:p>
        </w:tc>
      </w:tr>
      <w:tr w:rsidR="00C9046E" w:rsidRPr="009872F3" w14:paraId="5CD11E7E" w14:textId="77777777" w:rsidTr="0036650A">
        <w:trPr>
          <w:trHeight w:val="294"/>
        </w:trPr>
        <w:tc>
          <w:tcPr>
            <w:tcW w:w="9180" w:type="dxa"/>
            <w:gridSpan w:val="4"/>
          </w:tcPr>
          <w:p w14:paraId="768B65E6" w14:textId="77777777" w:rsidR="00C9046E" w:rsidRPr="009872F3" w:rsidRDefault="00C9046E" w:rsidP="0036650A">
            <w:pPr>
              <w:jc w:val="both"/>
              <w:rPr>
                <w:rFonts w:ascii="Arial" w:hAnsi="Arial" w:cs="Arial"/>
                <w:sz w:val="18"/>
                <w:szCs w:val="18"/>
              </w:rPr>
            </w:pPr>
          </w:p>
        </w:tc>
      </w:tr>
      <w:tr w:rsidR="00C9046E" w:rsidRPr="009872F3" w14:paraId="56B67F64" w14:textId="77777777" w:rsidTr="0036650A">
        <w:tc>
          <w:tcPr>
            <w:tcW w:w="5798" w:type="dxa"/>
            <w:gridSpan w:val="3"/>
          </w:tcPr>
          <w:p w14:paraId="5D8B9E04" w14:textId="77777777" w:rsidR="00C9046E" w:rsidRPr="00C1307E" w:rsidRDefault="00C9046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5039DBEA" w14:textId="77777777" w:rsidR="00C9046E" w:rsidRPr="00E109DF" w:rsidRDefault="00C9046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24D953D8" w14:textId="77777777" w:rsidTr="0036650A">
        <w:tc>
          <w:tcPr>
            <w:tcW w:w="5798" w:type="dxa"/>
            <w:gridSpan w:val="3"/>
          </w:tcPr>
          <w:p w14:paraId="324201EF"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lastRenderedPageBreak/>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2951092A"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9046E" w:rsidRPr="009872F3" w14:paraId="3461C9DE" w14:textId="77777777" w:rsidTr="0036650A">
        <w:tc>
          <w:tcPr>
            <w:tcW w:w="5798" w:type="dxa"/>
            <w:gridSpan w:val="3"/>
          </w:tcPr>
          <w:p w14:paraId="4072592A" w14:textId="77777777" w:rsidR="00C9046E" w:rsidRPr="00C1307E" w:rsidRDefault="00C9046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Risikokonzentrationen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7DD375F9" w14:textId="77777777" w:rsidR="00C9046E" w:rsidRPr="009872F3" w:rsidRDefault="00C9046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68A1F98" w14:textId="77777777" w:rsidR="00C9046E" w:rsidRPr="00CE3194" w:rsidRDefault="00C9046E" w:rsidP="00C9046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C9046E" w:rsidRPr="00CE3194" w14:paraId="73204A7F" w14:textId="77777777" w:rsidTr="0036650A">
        <w:tc>
          <w:tcPr>
            <w:tcW w:w="2660" w:type="dxa"/>
          </w:tcPr>
          <w:p w14:paraId="1BEACACF"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97330B5" w14:textId="77777777" w:rsidR="00C9046E" w:rsidRPr="00CE3194" w:rsidRDefault="00C9046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C9046E" w:rsidRPr="00CE3194" w14:paraId="60EB5785" w14:textId="77777777" w:rsidTr="0036650A">
        <w:tc>
          <w:tcPr>
            <w:tcW w:w="2660" w:type="dxa"/>
          </w:tcPr>
          <w:p w14:paraId="38D6D390"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247F04AB" w14:textId="77777777" w:rsidR="00D8345E" w:rsidRDefault="00D8345E" w:rsidP="00D8345E">
            <w:pPr>
              <w:jc w:val="both"/>
              <w:rPr>
                <w:rFonts w:ascii="Arial" w:hAnsi="Arial" w:cs="Arial"/>
                <w:i/>
                <w:sz w:val="20"/>
                <w:szCs w:val="20"/>
                <w:highlight w:val="lightGray"/>
              </w:rPr>
            </w:pPr>
          </w:p>
          <w:p w14:paraId="37E2E74B" w14:textId="77777777" w:rsidR="00C9046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6CFF38D"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42BF30C1"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3BBE2F5C" w14:textId="292B81A4"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A2BAEB2"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48D9A713"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66176F86" w14:textId="77777777" w:rsidTr="0036650A">
        <w:tc>
          <w:tcPr>
            <w:tcW w:w="2660" w:type="dxa"/>
          </w:tcPr>
          <w:p w14:paraId="3F897E6E"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8C41822" w14:textId="77777777" w:rsidR="0074539F" w:rsidRPr="00CE3194" w:rsidRDefault="0074539F" w:rsidP="0036650A">
            <w:pPr>
              <w:jc w:val="both"/>
              <w:rPr>
                <w:rFonts w:ascii="Arial" w:hAnsi="Arial" w:cs="Arial"/>
                <w:i/>
                <w:sz w:val="20"/>
                <w:szCs w:val="20"/>
                <w:highlight w:val="lightGray"/>
              </w:rPr>
            </w:pPr>
          </w:p>
        </w:tc>
        <w:tc>
          <w:tcPr>
            <w:tcW w:w="6520" w:type="dxa"/>
          </w:tcPr>
          <w:p w14:paraId="35DE7F7B" w14:textId="095E65FD"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33CD7530" w14:textId="05194B7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C1594AB" w14:textId="274FC45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12F542FC"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C9046E" w14:paraId="1183CA70" w14:textId="77777777" w:rsidTr="0036650A">
        <w:tc>
          <w:tcPr>
            <w:tcW w:w="2660" w:type="dxa"/>
          </w:tcPr>
          <w:p w14:paraId="2C1E4771" w14:textId="77777777" w:rsidR="00C9046E" w:rsidRDefault="00C9046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20A772C6" w14:textId="057B525C"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r w:rsidR="00D95839">
              <w:rPr>
                <w:rFonts w:cs="Arial"/>
                <w:i/>
                <w:szCs w:val="20"/>
                <w:highlight w:val="lightGray"/>
              </w:rPr>
              <w:t>, insofern relevant.</w:t>
            </w:r>
          </w:p>
          <w:p w14:paraId="52EADCA9"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17202B38"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4826C56E" w14:textId="77777777" w:rsidR="00C9046E" w:rsidRPr="00CE3194" w:rsidRDefault="00C9046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6352FCD" w14:textId="77777777" w:rsidR="00C9046E" w:rsidRPr="005B66F8" w:rsidRDefault="00C9046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270EEBF" w14:textId="6BF51BCF"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r w:rsidR="00D95839" w:rsidRPr="0099798B">
              <w:rPr>
                <w:rFonts w:cs="Arial"/>
                <w:i/>
                <w:szCs w:val="20"/>
                <w:highlight w:val="lightGray"/>
              </w:rPr>
              <w:t>, insofern relevant.</w:t>
            </w:r>
          </w:p>
        </w:tc>
      </w:tr>
    </w:tbl>
    <w:p w14:paraId="07F9F53F" w14:textId="77777777" w:rsidR="00C9046E" w:rsidRDefault="00C9046E" w:rsidP="00CB3EE6">
      <w:pPr>
        <w:jc w:val="both"/>
        <w:rPr>
          <w:rFonts w:cs="Arial"/>
          <w:szCs w:val="20"/>
        </w:rPr>
      </w:pPr>
    </w:p>
    <w:p w14:paraId="1B421B1A"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216642D" w14:textId="77777777" w:rsidR="00E70DF4" w:rsidRDefault="00E70DF4" w:rsidP="00CB3EE6">
      <w:pPr>
        <w:jc w:val="both"/>
        <w:rPr>
          <w:rFonts w:cs="Arial"/>
          <w:szCs w:val="20"/>
        </w:rPr>
      </w:pPr>
    </w:p>
    <w:p w14:paraId="400DE0DF" w14:textId="77777777" w:rsidR="00C9046E" w:rsidRPr="006730AC" w:rsidRDefault="00C9046E" w:rsidP="00CB3EE6">
      <w:pPr>
        <w:jc w:val="both"/>
        <w:rPr>
          <w:rFonts w:cs="Arial"/>
          <w:szCs w:val="20"/>
        </w:rPr>
      </w:pPr>
    </w:p>
    <w:p w14:paraId="6F78B2A3" w14:textId="3538B648" w:rsidR="008C30D1" w:rsidRPr="000C756C" w:rsidRDefault="008C30D1" w:rsidP="006F7AB5">
      <w:pPr>
        <w:pStyle w:val="FINMAGliederungEbene3"/>
      </w:pPr>
      <w:bookmarkStart w:id="51" w:name="_Toc216425800"/>
      <w:r>
        <w:t>Sonstige Risiken im Zusammenhang mit grenzüberschreitenden Dienstleistungen und Korrespondenzbankbeziehungen</w:t>
      </w:r>
      <w:r w:rsidR="00543DCA">
        <w:t xml:space="preserve"> </w:t>
      </w:r>
      <w:r w:rsidR="00DB5BE8">
        <w:t>(GR-3</w:t>
      </w:r>
      <w:r w:rsidR="00287F87">
        <w:t>3</w:t>
      </w:r>
      <w:r w:rsidR="00543DCA">
        <w:t>)</w:t>
      </w:r>
      <w:bookmarkEnd w:id="51"/>
    </w:p>
    <w:p w14:paraId="0469F913" w14:textId="77777777" w:rsidR="000C756C" w:rsidRPr="006730AC" w:rsidRDefault="000C756C" w:rsidP="000C756C">
      <w:pPr>
        <w:pStyle w:val="Listenabsatz"/>
        <w:ind w:left="1224"/>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A5C48" w:rsidRPr="009872F3" w14:paraId="1F6721C2" w14:textId="77777777" w:rsidTr="0036650A">
        <w:trPr>
          <w:trHeight w:val="563"/>
        </w:trPr>
        <w:tc>
          <w:tcPr>
            <w:tcW w:w="1932" w:type="dxa"/>
          </w:tcPr>
          <w:p w14:paraId="70850A11"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3AE028E9"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48E3A8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A5C48" w:rsidRPr="009872F3" w14:paraId="1E849A1C" w14:textId="77777777" w:rsidTr="0036650A">
        <w:trPr>
          <w:trHeight w:val="698"/>
        </w:trPr>
        <w:tc>
          <w:tcPr>
            <w:tcW w:w="1932" w:type="dxa"/>
          </w:tcPr>
          <w:p w14:paraId="5286E079" w14:textId="6CDD6BF4"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2A45EA">
              <w:rPr>
                <w:rFonts w:ascii="Arial" w:hAnsi="Arial" w:cs="Arial"/>
                <w:i/>
                <w:sz w:val="18"/>
                <w:szCs w:val="18"/>
                <w:highlight w:val="yellow"/>
              </w:rPr>
              <w:t>hoch</w:t>
            </w:r>
          </w:p>
        </w:tc>
        <w:tc>
          <w:tcPr>
            <w:tcW w:w="2145" w:type="dxa"/>
          </w:tcPr>
          <w:p w14:paraId="1B5E695C" w14:textId="77777777" w:rsidR="00AA5C48" w:rsidRPr="006749F0" w:rsidRDefault="00AA5C48"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FFCBB60" w14:textId="77777777" w:rsidR="00AA5C48" w:rsidRPr="009872F3" w:rsidRDefault="00AA5C48"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DAD1A41" w14:textId="77777777" w:rsidR="00AA5C48" w:rsidRDefault="00AA5C48"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4D51B4A" w14:textId="77777777" w:rsidR="00AA5C48" w:rsidRPr="006749F0" w:rsidRDefault="00AA5C48" w:rsidP="0036650A">
            <w:pPr>
              <w:jc w:val="both"/>
              <w:rPr>
                <w:rFonts w:ascii="Arial" w:hAnsi="Arial" w:cs="Arial"/>
                <w:i/>
                <w:sz w:val="18"/>
                <w:szCs w:val="18"/>
              </w:rPr>
            </w:pPr>
            <w:r w:rsidRPr="006749F0">
              <w:rPr>
                <w:rFonts w:ascii="Arial" w:hAnsi="Arial" w:cs="Arial"/>
                <w:i/>
                <w:sz w:val="18"/>
                <w:szCs w:val="18"/>
                <w:highlight w:val="yellow"/>
              </w:rPr>
              <w:t>Jahr</w:t>
            </w:r>
          </w:p>
        </w:tc>
      </w:tr>
      <w:tr w:rsidR="00AA5C48" w:rsidRPr="009872F3" w14:paraId="2011F080" w14:textId="77777777" w:rsidTr="0036650A">
        <w:trPr>
          <w:trHeight w:val="636"/>
        </w:trPr>
        <w:tc>
          <w:tcPr>
            <w:tcW w:w="9180" w:type="dxa"/>
            <w:gridSpan w:val="4"/>
          </w:tcPr>
          <w:p w14:paraId="6018EECC" w14:textId="77777777" w:rsidR="00AA5C48" w:rsidRDefault="00AA5C48" w:rsidP="0036650A">
            <w:pPr>
              <w:jc w:val="both"/>
              <w:rPr>
                <w:rFonts w:ascii="Arial" w:hAnsi="Arial" w:cs="Arial"/>
                <w:sz w:val="18"/>
                <w:szCs w:val="18"/>
              </w:rPr>
            </w:pPr>
          </w:p>
          <w:p w14:paraId="378E0504" w14:textId="77777777" w:rsidR="00AA5C48" w:rsidRDefault="00AA5C48"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5E633C6C" w14:textId="28DC1DD8" w:rsidR="00AA5C48" w:rsidRPr="009872F3" w:rsidRDefault="00AA5C48" w:rsidP="0036650A">
            <w:pPr>
              <w:jc w:val="both"/>
              <w:rPr>
                <w:rFonts w:ascii="Arial" w:hAnsi="Arial" w:cs="Arial"/>
                <w:sz w:val="18"/>
                <w:szCs w:val="18"/>
              </w:rPr>
            </w:pPr>
            <w:r w:rsidRPr="00CB3EE6">
              <w:rPr>
                <w:rFonts w:ascii="Arial" w:hAnsi="Arial" w:cs="Arial"/>
                <w:sz w:val="18"/>
                <w:szCs w:val="18"/>
                <w:highlight w:val="yellow"/>
              </w:rPr>
              <w:t>Art. 7</w:t>
            </w:r>
            <w:r w:rsidR="00143C60">
              <w:rPr>
                <w:rFonts w:ascii="Arial" w:hAnsi="Arial" w:cs="Arial"/>
                <w:sz w:val="18"/>
                <w:szCs w:val="18"/>
                <w:highlight w:val="yellow"/>
              </w:rPr>
              <w:t>9</w:t>
            </w:r>
            <w:r w:rsidRPr="00CB3EE6">
              <w:rPr>
                <w:rFonts w:ascii="Arial" w:hAnsi="Arial" w:cs="Arial"/>
                <w:sz w:val="18"/>
                <w:szCs w:val="18"/>
                <w:highlight w:val="yellow"/>
              </w:rPr>
              <w:t xml:space="preserve"> BankG;</w:t>
            </w:r>
            <w:r w:rsidR="00D26A87">
              <w:rPr>
                <w:rFonts w:ascii="Arial" w:hAnsi="Arial" w:cs="Arial"/>
                <w:sz w:val="18"/>
                <w:szCs w:val="18"/>
                <w:highlight w:val="yellow"/>
              </w:rPr>
              <w:t xml:space="preserve"> Art. 16 BankV</w:t>
            </w:r>
            <w:r w:rsidR="00C02D6E">
              <w:rPr>
                <w:rFonts w:ascii="Arial" w:hAnsi="Arial" w:cs="Arial"/>
                <w:sz w:val="18"/>
                <w:szCs w:val="18"/>
                <w:highlight w:val="yellow"/>
              </w:rPr>
              <w:t xml:space="preserve">, Art. 10-11 BankV, </w:t>
            </w:r>
            <w:r w:rsidRPr="00CB3EE6">
              <w:rPr>
                <w:rFonts w:ascii="Arial" w:hAnsi="Arial" w:cs="Arial"/>
                <w:sz w:val="18"/>
                <w:szCs w:val="18"/>
                <w:highlight w:val="yellow"/>
              </w:rPr>
              <w:t>FMA-Mitteilung 2017/4 (inkl. regulatorische Grundlagen im Anhang), FMA-Mitteilung 2015/03</w:t>
            </w:r>
            <w:r w:rsidR="009E273B">
              <w:rPr>
                <w:rFonts w:ascii="Arial" w:hAnsi="Arial" w:cs="Arial"/>
                <w:sz w:val="18"/>
                <w:szCs w:val="18"/>
                <w:highlight w:val="yellow"/>
              </w:rPr>
              <w:t>; EBA/GL/2021/05</w:t>
            </w:r>
          </w:p>
        </w:tc>
      </w:tr>
      <w:tr w:rsidR="00AA5C48" w:rsidRPr="009872F3" w14:paraId="2EFC43C7" w14:textId="77777777" w:rsidTr="0036650A">
        <w:trPr>
          <w:trHeight w:val="294"/>
        </w:trPr>
        <w:tc>
          <w:tcPr>
            <w:tcW w:w="9180" w:type="dxa"/>
            <w:gridSpan w:val="4"/>
          </w:tcPr>
          <w:p w14:paraId="6B441C3D" w14:textId="77777777" w:rsidR="00AA5C48" w:rsidRPr="009872F3" w:rsidRDefault="00AA5C48" w:rsidP="0036650A">
            <w:pPr>
              <w:jc w:val="both"/>
              <w:rPr>
                <w:rFonts w:ascii="Arial" w:hAnsi="Arial" w:cs="Arial"/>
                <w:sz w:val="18"/>
                <w:szCs w:val="18"/>
              </w:rPr>
            </w:pPr>
          </w:p>
        </w:tc>
      </w:tr>
      <w:tr w:rsidR="00AA5C48" w:rsidRPr="009872F3" w14:paraId="3CBC3D3E" w14:textId="77777777" w:rsidTr="0036650A">
        <w:tc>
          <w:tcPr>
            <w:tcW w:w="5798" w:type="dxa"/>
            <w:gridSpan w:val="3"/>
          </w:tcPr>
          <w:p w14:paraId="1EC0E743" w14:textId="77777777" w:rsidR="00AA5C48" w:rsidRPr="00C1307E" w:rsidRDefault="00AA5C48"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grenzüberschreitenden Dienstleistungen und Korrespondenzbankbeziehungen </w:t>
            </w:r>
            <w:r w:rsidRPr="00C1307E">
              <w:rPr>
                <w:rFonts w:ascii="Arial" w:hAnsi="Arial" w:cs="Arial"/>
                <w:sz w:val="18"/>
                <w:szCs w:val="18"/>
              </w:rPr>
              <w:t>angemessen ausgestaltet ist.</w:t>
            </w:r>
          </w:p>
        </w:tc>
        <w:tc>
          <w:tcPr>
            <w:tcW w:w="3382" w:type="dxa"/>
          </w:tcPr>
          <w:p w14:paraId="6974B121" w14:textId="77777777" w:rsidR="00AA5C48" w:rsidRPr="00E109DF" w:rsidRDefault="00AA5C48"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22DB9A4A" w14:textId="77777777" w:rsidTr="0036650A">
        <w:tc>
          <w:tcPr>
            <w:tcW w:w="5798" w:type="dxa"/>
            <w:gridSpan w:val="3"/>
          </w:tcPr>
          <w:p w14:paraId="1C864FD6" w14:textId="77777777" w:rsidR="00AA5C48" w:rsidRPr="00C1307E" w:rsidRDefault="00AA5C48"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sonstigen Risiken im Zusammenhang mit grenzüberschreitenden Dienstleistungen und Korrespondenzbankbeziehungen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67B19630"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A5C48" w:rsidRPr="009872F3" w14:paraId="6DE68003" w14:textId="77777777" w:rsidTr="0036650A">
        <w:tc>
          <w:tcPr>
            <w:tcW w:w="5798" w:type="dxa"/>
            <w:gridSpan w:val="3"/>
          </w:tcPr>
          <w:p w14:paraId="5DBABD1B" w14:textId="77777777" w:rsidR="00AA5C48" w:rsidRPr="00C1307E" w:rsidRDefault="00AA5C48"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002D4D4E">
              <w:rPr>
                <w:rFonts w:ascii="Arial" w:hAnsi="Arial" w:cs="Arial"/>
                <w:sz w:val="18"/>
                <w:szCs w:val="18"/>
              </w:rPr>
              <w:t>sonstigen Risiken im Zusammenhang mit grenzüberschreitenden Dienstleistungen und Korrespondenzbankbeziehungen</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5FF5A5CD" w14:textId="77777777" w:rsidR="00AA5C48" w:rsidRPr="009872F3" w:rsidRDefault="00AA5C48"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EC9EB6D" w14:textId="77777777" w:rsidR="00AA5C48" w:rsidRPr="00CE3194" w:rsidRDefault="00AA5C48" w:rsidP="00AA5C48">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A5C48" w:rsidRPr="00CE3194" w14:paraId="6342828E" w14:textId="77777777" w:rsidTr="0036650A">
        <w:tc>
          <w:tcPr>
            <w:tcW w:w="2660" w:type="dxa"/>
          </w:tcPr>
          <w:p w14:paraId="635983A5"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C1C42FB" w14:textId="77777777" w:rsidR="00AA5C48" w:rsidRPr="00CE3194" w:rsidRDefault="00AA5C48"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A5C48" w:rsidRPr="00CE3194" w14:paraId="6DB2E1A6" w14:textId="77777777" w:rsidTr="0036650A">
        <w:tc>
          <w:tcPr>
            <w:tcW w:w="2660" w:type="dxa"/>
          </w:tcPr>
          <w:p w14:paraId="099766AB"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104A62E0" w14:textId="77777777" w:rsidR="00D8345E" w:rsidRDefault="00D8345E" w:rsidP="00D8345E">
            <w:pPr>
              <w:jc w:val="both"/>
              <w:rPr>
                <w:rFonts w:ascii="Arial" w:hAnsi="Arial" w:cs="Arial"/>
                <w:i/>
                <w:sz w:val="20"/>
                <w:szCs w:val="20"/>
                <w:highlight w:val="lightGray"/>
              </w:rPr>
            </w:pPr>
          </w:p>
          <w:p w14:paraId="10BFDA0F" w14:textId="77777777" w:rsidR="00AA5C48"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B1D2B25"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190CFF0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2A0D8E2" w14:textId="3A2CAA88"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0FAD1D10"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7F40A2CF"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50AA607" w14:textId="77777777" w:rsidTr="0036650A">
        <w:tc>
          <w:tcPr>
            <w:tcW w:w="2660" w:type="dxa"/>
          </w:tcPr>
          <w:p w14:paraId="0287804A"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2351486A" w14:textId="77777777" w:rsidR="0074539F" w:rsidRPr="00CE3194" w:rsidRDefault="0074539F" w:rsidP="0036650A">
            <w:pPr>
              <w:jc w:val="both"/>
              <w:rPr>
                <w:rFonts w:ascii="Arial" w:hAnsi="Arial" w:cs="Arial"/>
                <w:i/>
                <w:sz w:val="20"/>
                <w:szCs w:val="20"/>
                <w:highlight w:val="lightGray"/>
              </w:rPr>
            </w:pPr>
          </w:p>
        </w:tc>
        <w:tc>
          <w:tcPr>
            <w:tcW w:w="6520" w:type="dxa"/>
          </w:tcPr>
          <w:p w14:paraId="0053C076" w14:textId="1F71C069"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280B30F5" w14:textId="5E96E438"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5061E26C" w14:textId="5DBE16C0"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6383308"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A5C48" w14:paraId="48D70E63" w14:textId="77777777" w:rsidTr="0036650A">
        <w:tc>
          <w:tcPr>
            <w:tcW w:w="2660" w:type="dxa"/>
          </w:tcPr>
          <w:p w14:paraId="44903881" w14:textId="77777777" w:rsidR="00AA5C48" w:rsidRDefault="00AA5C48"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6BD47E28" w14:textId="44B89E3A"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51F8C7CE"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50160CAA"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8F0C5FF" w14:textId="77777777" w:rsidR="00AA5C48" w:rsidRPr="00CE3194" w:rsidRDefault="00AA5C48"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19805028" w14:textId="77777777" w:rsidR="00AA5C48" w:rsidRPr="005B66F8" w:rsidRDefault="00AA5C48"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47E8CB96" w14:textId="69EF46EC"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 xml:space="preserve">mit </w:t>
            </w:r>
            <w:r w:rsidRPr="0099798B">
              <w:rPr>
                <w:rFonts w:cs="Arial"/>
                <w:i/>
                <w:szCs w:val="20"/>
                <w:highlight w:val="lightGray"/>
              </w:rPr>
              <w:t>ein</w:t>
            </w:r>
            <w:r w:rsidR="00380AE2" w:rsidRPr="0099798B">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7D4FBE15" w14:textId="77777777" w:rsidR="00C9046E" w:rsidRDefault="00C9046E" w:rsidP="00CB3EE6">
      <w:pPr>
        <w:jc w:val="both"/>
        <w:rPr>
          <w:rFonts w:cs="Arial"/>
          <w:szCs w:val="20"/>
        </w:rPr>
      </w:pPr>
    </w:p>
    <w:p w14:paraId="773C2ED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lastRenderedPageBreak/>
        <w:t>Text</w:t>
      </w:r>
    </w:p>
    <w:p w14:paraId="5ADD56F4" w14:textId="77777777" w:rsidR="00C9046E" w:rsidRDefault="00C9046E" w:rsidP="00CB3EE6">
      <w:pPr>
        <w:jc w:val="both"/>
        <w:rPr>
          <w:rFonts w:cs="Arial"/>
          <w:szCs w:val="20"/>
        </w:rPr>
      </w:pPr>
    </w:p>
    <w:p w14:paraId="785DA3AE" w14:textId="77777777" w:rsidR="00C9046E" w:rsidRPr="006730AC" w:rsidRDefault="00C9046E" w:rsidP="00CB3EE6">
      <w:pPr>
        <w:jc w:val="both"/>
        <w:rPr>
          <w:rFonts w:cs="Arial"/>
          <w:szCs w:val="20"/>
        </w:rPr>
      </w:pPr>
    </w:p>
    <w:p w14:paraId="3B5D50A2" w14:textId="1B80B037" w:rsidR="008C30D1" w:rsidRPr="006730AC" w:rsidRDefault="008C30D1" w:rsidP="006F7AB5">
      <w:pPr>
        <w:pStyle w:val="FINMAGliederungEbene3"/>
      </w:pPr>
      <w:bookmarkStart w:id="52" w:name="_Toc216425801"/>
      <w:r>
        <w:t>Sonstige Risiken im Zusammenhang mit Intragruppenbeziehungen</w:t>
      </w:r>
      <w:r w:rsidR="00543DCA">
        <w:t xml:space="preserve"> </w:t>
      </w:r>
      <w:r w:rsidR="00DB5BE8">
        <w:t>(GR-3</w:t>
      </w:r>
      <w:r w:rsidR="00287F87">
        <w:t>4</w:t>
      </w:r>
      <w:r w:rsidR="00543DCA">
        <w:t>)</w:t>
      </w:r>
      <w:bookmarkEnd w:id="52"/>
    </w:p>
    <w:p w14:paraId="05EB2B99"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59D5111C" w14:textId="77777777" w:rsidTr="0036650A">
        <w:trPr>
          <w:trHeight w:val="563"/>
        </w:trPr>
        <w:tc>
          <w:tcPr>
            <w:tcW w:w="1932" w:type="dxa"/>
          </w:tcPr>
          <w:p w14:paraId="29F450C5"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CCB5449"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F6D2945"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0FC6A22B" w14:textId="77777777" w:rsidTr="0036650A">
        <w:trPr>
          <w:trHeight w:val="698"/>
        </w:trPr>
        <w:tc>
          <w:tcPr>
            <w:tcW w:w="1932" w:type="dxa"/>
          </w:tcPr>
          <w:p w14:paraId="5DFE3F3A" w14:textId="05835BFE"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DCC8F06"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B97DC28"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BE5B17C"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5D6E2C6"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12FFED57" w14:textId="77777777" w:rsidTr="0036650A">
        <w:trPr>
          <w:trHeight w:val="636"/>
        </w:trPr>
        <w:tc>
          <w:tcPr>
            <w:tcW w:w="9180" w:type="dxa"/>
            <w:gridSpan w:val="4"/>
          </w:tcPr>
          <w:p w14:paraId="52481619" w14:textId="77777777" w:rsidR="002D4D4E" w:rsidRDefault="002D4D4E" w:rsidP="0036650A">
            <w:pPr>
              <w:jc w:val="both"/>
              <w:rPr>
                <w:rFonts w:ascii="Arial" w:hAnsi="Arial" w:cs="Arial"/>
                <w:sz w:val="18"/>
                <w:szCs w:val="18"/>
              </w:rPr>
            </w:pPr>
          </w:p>
          <w:p w14:paraId="3284AC0D" w14:textId="77777777" w:rsidR="002D4D4E" w:rsidRDefault="002D4D4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26C948F0" w14:textId="340B8F95" w:rsidR="002D4D4E" w:rsidRPr="009872F3" w:rsidRDefault="002D4D4E" w:rsidP="0036650A">
            <w:pPr>
              <w:jc w:val="both"/>
              <w:rPr>
                <w:rFonts w:ascii="Arial" w:hAnsi="Arial" w:cs="Arial"/>
                <w:sz w:val="18"/>
                <w:szCs w:val="18"/>
              </w:rPr>
            </w:pPr>
            <w:r w:rsidRPr="00CB3EE6">
              <w:rPr>
                <w:rFonts w:ascii="Arial" w:hAnsi="Arial" w:cs="Arial"/>
                <w:sz w:val="18"/>
                <w:szCs w:val="18"/>
                <w:highlight w:val="yellow"/>
              </w:rPr>
              <w:t>Art. 7</w:t>
            </w:r>
            <w:r w:rsidR="00D26A87">
              <w:rPr>
                <w:rFonts w:ascii="Arial" w:hAnsi="Arial" w:cs="Arial"/>
                <w:sz w:val="18"/>
                <w:szCs w:val="18"/>
                <w:highlight w:val="yellow"/>
              </w:rPr>
              <w:t>9</w:t>
            </w:r>
            <w:r w:rsidRPr="00CB3EE6">
              <w:rPr>
                <w:rFonts w:ascii="Arial" w:hAnsi="Arial" w:cs="Arial"/>
                <w:sz w:val="18"/>
                <w:szCs w:val="18"/>
                <w:highlight w:val="yellow"/>
              </w:rPr>
              <w:t xml:space="preserve"> BankG</w:t>
            </w:r>
            <w:r w:rsidR="00D26A87">
              <w:rPr>
                <w:rFonts w:ascii="Arial" w:hAnsi="Arial" w:cs="Arial"/>
                <w:sz w:val="18"/>
                <w:szCs w:val="18"/>
                <w:highlight w:val="yellow"/>
              </w:rPr>
              <w:t>, Art. 16 BankV</w:t>
            </w:r>
            <w:r w:rsidR="0099798B">
              <w:rPr>
                <w:rFonts w:ascii="Arial" w:hAnsi="Arial" w:cs="Arial"/>
                <w:sz w:val="18"/>
                <w:szCs w:val="18"/>
                <w:highlight w:val="yellow"/>
              </w:rPr>
              <w:t>,</w:t>
            </w:r>
            <w:r w:rsidR="00C02D6E">
              <w:rPr>
                <w:rFonts w:ascii="Arial" w:hAnsi="Arial" w:cs="Arial"/>
                <w:sz w:val="18"/>
                <w:szCs w:val="18"/>
                <w:highlight w:val="yellow"/>
              </w:rPr>
              <w:t xml:space="preserve"> 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2D4D4E" w:rsidRPr="009872F3" w14:paraId="77F9B76C" w14:textId="77777777" w:rsidTr="0036650A">
        <w:trPr>
          <w:trHeight w:val="294"/>
        </w:trPr>
        <w:tc>
          <w:tcPr>
            <w:tcW w:w="9180" w:type="dxa"/>
            <w:gridSpan w:val="4"/>
          </w:tcPr>
          <w:p w14:paraId="7F40E763" w14:textId="77777777" w:rsidR="002D4D4E" w:rsidRPr="009872F3" w:rsidRDefault="002D4D4E" w:rsidP="0036650A">
            <w:pPr>
              <w:jc w:val="both"/>
              <w:rPr>
                <w:rFonts w:ascii="Arial" w:hAnsi="Arial" w:cs="Arial"/>
                <w:sz w:val="18"/>
                <w:szCs w:val="18"/>
              </w:rPr>
            </w:pPr>
          </w:p>
        </w:tc>
      </w:tr>
      <w:tr w:rsidR="002D4D4E" w:rsidRPr="009872F3" w14:paraId="48F128D7" w14:textId="77777777" w:rsidTr="0036650A">
        <w:tc>
          <w:tcPr>
            <w:tcW w:w="5798" w:type="dxa"/>
            <w:gridSpan w:val="3"/>
          </w:tcPr>
          <w:p w14:paraId="41FEB12E"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sonstigen Risiken im Zusammenhang mit Intragruppenbeziehungen </w:t>
            </w:r>
            <w:r w:rsidRPr="00C1307E">
              <w:rPr>
                <w:rFonts w:ascii="Arial" w:hAnsi="Arial" w:cs="Arial"/>
                <w:sz w:val="18"/>
                <w:szCs w:val="18"/>
              </w:rPr>
              <w:t>angemessen ausgestaltet ist.</w:t>
            </w:r>
          </w:p>
        </w:tc>
        <w:tc>
          <w:tcPr>
            <w:tcW w:w="3382" w:type="dxa"/>
          </w:tcPr>
          <w:p w14:paraId="62E010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3DFE5BA4" w14:textId="77777777" w:rsidTr="0036650A">
        <w:tc>
          <w:tcPr>
            <w:tcW w:w="5798" w:type="dxa"/>
            <w:gridSpan w:val="3"/>
          </w:tcPr>
          <w:p w14:paraId="66B8ABED"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sonstigen Risiken im Zusammenhang mit Intragruppenbeziehungen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5A88B8C"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7BAAEB96" w14:textId="77777777" w:rsidTr="0036650A">
        <w:tc>
          <w:tcPr>
            <w:tcW w:w="5798" w:type="dxa"/>
            <w:gridSpan w:val="3"/>
          </w:tcPr>
          <w:p w14:paraId="620E7DFD"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sonstigen Risiken im Zusammenhang mit Intragruppenbeziehungen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10443D3"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1CD5F2"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2E54BD4" w14:textId="77777777" w:rsidTr="0036650A">
        <w:tc>
          <w:tcPr>
            <w:tcW w:w="2660" w:type="dxa"/>
          </w:tcPr>
          <w:p w14:paraId="584899E0"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44414F7"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46A5E1B5" w14:textId="77777777" w:rsidTr="0036650A">
        <w:tc>
          <w:tcPr>
            <w:tcW w:w="2660" w:type="dxa"/>
          </w:tcPr>
          <w:p w14:paraId="619AE6D8"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0E96DCCA" w14:textId="77777777" w:rsidR="00D8345E" w:rsidRDefault="00D8345E" w:rsidP="00D8345E">
            <w:pPr>
              <w:jc w:val="both"/>
              <w:rPr>
                <w:rFonts w:ascii="Arial" w:hAnsi="Arial" w:cs="Arial"/>
                <w:i/>
                <w:sz w:val="20"/>
                <w:szCs w:val="20"/>
                <w:highlight w:val="lightGray"/>
              </w:rPr>
            </w:pPr>
          </w:p>
          <w:p w14:paraId="4CA0EF93"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5513AB19"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97CFF8"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511260E4" w14:textId="607BBEDB"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491BF826"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510BA42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42572FC7" w14:textId="77777777" w:rsidTr="0036650A">
        <w:tc>
          <w:tcPr>
            <w:tcW w:w="2660" w:type="dxa"/>
          </w:tcPr>
          <w:p w14:paraId="64D0BFA8"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3755873E" w14:textId="77777777" w:rsidR="0074539F" w:rsidRPr="00CE3194" w:rsidRDefault="0074539F" w:rsidP="0036650A">
            <w:pPr>
              <w:jc w:val="both"/>
              <w:rPr>
                <w:rFonts w:ascii="Arial" w:hAnsi="Arial" w:cs="Arial"/>
                <w:i/>
                <w:sz w:val="20"/>
                <w:szCs w:val="20"/>
                <w:highlight w:val="lightGray"/>
              </w:rPr>
            </w:pPr>
          </w:p>
        </w:tc>
        <w:tc>
          <w:tcPr>
            <w:tcW w:w="6520" w:type="dxa"/>
          </w:tcPr>
          <w:p w14:paraId="67322EFC" w14:textId="338B13E7"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0B41751B" w14:textId="0655C21C"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365470" w14:textId="23046AE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64523F67"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2D4D4E" w14:paraId="2CA2CC27" w14:textId="77777777" w:rsidTr="0036650A">
        <w:tc>
          <w:tcPr>
            <w:tcW w:w="2660" w:type="dxa"/>
          </w:tcPr>
          <w:p w14:paraId="25D0CB92"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561E778E" w14:textId="69EC52CD"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w:t>
            </w:r>
          </w:p>
          <w:p w14:paraId="69DD626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6D1588EC"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verwendeten Daten sind von hoher Aktualität und Qualität;</w:t>
            </w:r>
          </w:p>
          <w:p w14:paraId="6E32AEB5"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32D73E74" w14:textId="77777777" w:rsidR="002D4D4E" w:rsidRPr="005B66F8" w:rsidRDefault="002D4D4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29654207" w14:textId="798766C5"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p>
        </w:tc>
      </w:tr>
    </w:tbl>
    <w:p w14:paraId="7C7EC430" w14:textId="77777777" w:rsidR="002D4D4E" w:rsidRDefault="002D4D4E" w:rsidP="00CB3EE6">
      <w:pPr>
        <w:jc w:val="both"/>
        <w:rPr>
          <w:rFonts w:cs="Arial"/>
          <w:szCs w:val="20"/>
        </w:rPr>
      </w:pPr>
    </w:p>
    <w:p w14:paraId="26396558"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02F196D9" w14:textId="77777777" w:rsidR="00E70DF4" w:rsidRDefault="00E70DF4" w:rsidP="00CB3EE6">
      <w:pPr>
        <w:jc w:val="both"/>
        <w:rPr>
          <w:rFonts w:cs="Arial"/>
          <w:szCs w:val="20"/>
        </w:rPr>
      </w:pPr>
    </w:p>
    <w:p w14:paraId="0934A6F3" w14:textId="77777777" w:rsidR="002D4D4E" w:rsidRPr="006730AC" w:rsidRDefault="002D4D4E" w:rsidP="00CB3EE6">
      <w:pPr>
        <w:jc w:val="both"/>
        <w:rPr>
          <w:rFonts w:cs="Arial"/>
          <w:szCs w:val="20"/>
        </w:rPr>
      </w:pPr>
    </w:p>
    <w:p w14:paraId="43F580E3" w14:textId="5A7E9C4F" w:rsidR="008C30D1" w:rsidRPr="006730AC" w:rsidRDefault="008C30D1" w:rsidP="006F7AB5">
      <w:pPr>
        <w:pStyle w:val="FINMAGliederungEbene3"/>
      </w:pPr>
      <w:bookmarkStart w:id="53" w:name="_Toc216425802"/>
      <w:r>
        <w:t>Reputations- und Step-In-Risiken</w:t>
      </w:r>
      <w:r w:rsidR="00543DCA">
        <w:t xml:space="preserve"> </w:t>
      </w:r>
      <w:r w:rsidR="00DB5BE8">
        <w:t>(GR-3</w:t>
      </w:r>
      <w:r w:rsidR="00287F87">
        <w:t>5</w:t>
      </w:r>
      <w:r w:rsidR="00543DCA">
        <w:t>)</w:t>
      </w:r>
      <w:bookmarkEnd w:id="53"/>
    </w:p>
    <w:p w14:paraId="3C5E4F4F" w14:textId="77777777" w:rsidR="002D4D4E" w:rsidRDefault="002D4D4E"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2D4D4E" w:rsidRPr="009872F3" w14:paraId="2257B395" w14:textId="77777777" w:rsidTr="0036650A">
        <w:trPr>
          <w:trHeight w:val="563"/>
        </w:trPr>
        <w:tc>
          <w:tcPr>
            <w:tcW w:w="1932" w:type="dxa"/>
          </w:tcPr>
          <w:p w14:paraId="091565DD"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Nettorisiko</w:t>
            </w:r>
          </w:p>
        </w:tc>
        <w:tc>
          <w:tcPr>
            <w:tcW w:w="2145" w:type="dxa"/>
          </w:tcPr>
          <w:p w14:paraId="14F192CC"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9968D7"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D4D4E" w:rsidRPr="009872F3" w14:paraId="50B5A1CC" w14:textId="77777777" w:rsidTr="0036650A">
        <w:trPr>
          <w:trHeight w:val="698"/>
        </w:trPr>
        <w:tc>
          <w:tcPr>
            <w:tcW w:w="1932" w:type="dxa"/>
          </w:tcPr>
          <w:p w14:paraId="19912CCE" w14:textId="1B6CC590"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1708DDC" w14:textId="77777777" w:rsidR="002D4D4E" w:rsidRPr="006749F0" w:rsidRDefault="002D4D4E" w:rsidP="0036650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05FF2584" w14:textId="77777777" w:rsidR="002D4D4E" w:rsidRPr="009872F3" w:rsidRDefault="002D4D4E" w:rsidP="0036650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4EDE58" w14:textId="77777777" w:rsidR="002D4D4E" w:rsidRDefault="002D4D4E" w:rsidP="0036650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4B4A1F1" w14:textId="77777777" w:rsidR="002D4D4E" w:rsidRPr="006749F0" w:rsidRDefault="002D4D4E" w:rsidP="0036650A">
            <w:pPr>
              <w:jc w:val="both"/>
              <w:rPr>
                <w:rFonts w:ascii="Arial" w:hAnsi="Arial" w:cs="Arial"/>
                <w:i/>
                <w:sz w:val="18"/>
                <w:szCs w:val="18"/>
              </w:rPr>
            </w:pPr>
            <w:r w:rsidRPr="006749F0">
              <w:rPr>
                <w:rFonts w:ascii="Arial" w:hAnsi="Arial" w:cs="Arial"/>
                <w:i/>
                <w:sz w:val="18"/>
                <w:szCs w:val="18"/>
                <w:highlight w:val="yellow"/>
              </w:rPr>
              <w:t>Jahr</w:t>
            </w:r>
          </w:p>
        </w:tc>
      </w:tr>
      <w:tr w:rsidR="002D4D4E" w:rsidRPr="009872F3" w14:paraId="58D6B227" w14:textId="77777777" w:rsidTr="0036650A">
        <w:trPr>
          <w:trHeight w:val="636"/>
        </w:trPr>
        <w:tc>
          <w:tcPr>
            <w:tcW w:w="9180" w:type="dxa"/>
            <w:gridSpan w:val="4"/>
          </w:tcPr>
          <w:p w14:paraId="630CE3B4" w14:textId="77777777" w:rsidR="002D4D4E" w:rsidRDefault="002D4D4E" w:rsidP="0036650A">
            <w:pPr>
              <w:jc w:val="both"/>
              <w:rPr>
                <w:rFonts w:ascii="Arial" w:hAnsi="Arial" w:cs="Arial"/>
                <w:sz w:val="18"/>
                <w:szCs w:val="18"/>
              </w:rPr>
            </w:pPr>
          </w:p>
          <w:p w14:paraId="00884D02" w14:textId="77777777" w:rsidR="002D4D4E" w:rsidRDefault="002D4D4E" w:rsidP="0036650A">
            <w:pPr>
              <w:jc w:val="both"/>
              <w:rPr>
                <w:rFonts w:ascii="Arial" w:hAnsi="Arial" w:cs="Arial"/>
                <w:sz w:val="18"/>
                <w:szCs w:val="18"/>
              </w:rPr>
            </w:pPr>
            <w:r>
              <w:rPr>
                <w:rFonts w:ascii="Arial" w:hAnsi="Arial" w:cs="Arial"/>
                <w:sz w:val="18"/>
                <w:szCs w:val="18"/>
              </w:rPr>
              <w:t xml:space="preserve">Referenzen </w:t>
            </w:r>
            <w:r w:rsidRPr="00F60909">
              <w:rPr>
                <w:rFonts w:ascii="Arial" w:hAnsi="Arial" w:cs="Arial"/>
                <w:sz w:val="18"/>
                <w:szCs w:val="18"/>
                <w:highlight w:val="yellow"/>
              </w:rPr>
              <w:t>(demonstrativ; nicht abschliessend</w:t>
            </w:r>
            <w:r>
              <w:rPr>
                <w:rFonts w:ascii="Arial" w:hAnsi="Arial" w:cs="Arial"/>
                <w:sz w:val="18"/>
                <w:szCs w:val="18"/>
              </w:rPr>
              <w:t>:</w:t>
            </w:r>
          </w:p>
          <w:p w14:paraId="07FEE653" w14:textId="3A901E59" w:rsidR="002D4D4E" w:rsidRPr="009872F3" w:rsidRDefault="002D4D4E" w:rsidP="0036650A">
            <w:pPr>
              <w:jc w:val="both"/>
              <w:rPr>
                <w:rFonts w:ascii="Arial" w:hAnsi="Arial" w:cs="Arial"/>
                <w:sz w:val="18"/>
                <w:szCs w:val="18"/>
              </w:rPr>
            </w:pPr>
            <w:r w:rsidRPr="00CB3EE6">
              <w:rPr>
                <w:rFonts w:ascii="Arial" w:hAnsi="Arial" w:cs="Arial"/>
                <w:sz w:val="18"/>
                <w:szCs w:val="18"/>
                <w:highlight w:val="yellow"/>
              </w:rPr>
              <w:t>Art. 7</w:t>
            </w:r>
            <w:r w:rsidR="00D26A87">
              <w:rPr>
                <w:rFonts w:ascii="Arial" w:hAnsi="Arial" w:cs="Arial"/>
                <w:sz w:val="18"/>
                <w:szCs w:val="18"/>
                <w:highlight w:val="yellow"/>
              </w:rPr>
              <w:t>9</w:t>
            </w:r>
            <w:r w:rsidRPr="00CB3EE6">
              <w:rPr>
                <w:rFonts w:ascii="Arial" w:hAnsi="Arial" w:cs="Arial"/>
                <w:sz w:val="18"/>
                <w:szCs w:val="18"/>
                <w:highlight w:val="yellow"/>
              </w:rPr>
              <w:t xml:space="preserve"> BankG;</w:t>
            </w:r>
            <w:r w:rsidR="00D26A87">
              <w:rPr>
                <w:rFonts w:ascii="Arial" w:hAnsi="Arial" w:cs="Arial"/>
                <w:sz w:val="18"/>
                <w:szCs w:val="18"/>
                <w:highlight w:val="yellow"/>
              </w:rPr>
              <w:t xml:space="preserve"> Art. 16 BankV,</w:t>
            </w:r>
            <w:r w:rsidR="00C02D6E">
              <w:rPr>
                <w:rFonts w:ascii="Arial" w:hAnsi="Arial" w:cs="Arial"/>
                <w:sz w:val="18"/>
                <w:szCs w:val="18"/>
                <w:highlight w:val="yellow"/>
              </w:rPr>
              <w:t xml:space="preserve"> Art. 10-11 BankV, </w:t>
            </w:r>
            <w:r w:rsidRPr="00CB3EE6">
              <w:rPr>
                <w:rFonts w:ascii="Arial" w:hAnsi="Arial" w:cs="Arial"/>
                <w:sz w:val="18"/>
                <w:szCs w:val="18"/>
                <w:highlight w:val="yellow"/>
              </w:rPr>
              <w:t>FMA-Mitteilung 2017/4 (inkl. regulatorische Grundlagen im Anhang)</w:t>
            </w:r>
            <w:r w:rsidR="009E273B">
              <w:rPr>
                <w:rFonts w:ascii="Arial" w:hAnsi="Arial" w:cs="Arial"/>
                <w:sz w:val="18"/>
                <w:szCs w:val="18"/>
                <w:highlight w:val="yellow"/>
              </w:rPr>
              <w:t>; EBA/GL/2021/05</w:t>
            </w:r>
          </w:p>
        </w:tc>
      </w:tr>
      <w:tr w:rsidR="002D4D4E" w:rsidRPr="009872F3" w14:paraId="494F02B4" w14:textId="77777777" w:rsidTr="0036650A">
        <w:trPr>
          <w:trHeight w:val="294"/>
        </w:trPr>
        <w:tc>
          <w:tcPr>
            <w:tcW w:w="9180" w:type="dxa"/>
            <w:gridSpan w:val="4"/>
          </w:tcPr>
          <w:p w14:paraId="3F7D69C2" w14:textId="77777777" w:rsidR="002D4D4E" w:rsidRPr="009872F3" w:rsidRDefault="002D4D4E" w:rsidP="0036650A">
            <w:pPr>
              <w:jc w:val="both"/>
              <w:rPr>
                <w:rFonts w:ascii="Arial" w:hAnsi="Arial" w:cs="Arial"/>
                <w:sz w:val="18"/>
                <w:szCs w:val="18"/>
              </w:rPr>
            </w:pPr>
          </w:p>
        </w:tc>
      </w:tr>
      <w:tr w:rsidR="002D4D4E" w:rsidRPr="009872F3" w14:paraId="18E1C2CC" w14:textId="77777777" w:rsidTr="0036650A">
        <w:tc>
          <w:tcPr>
            <w:tcW w:w="5798" w:type="dxa"/>
            <w:gridSpan w:val="3"/>
          </w:tcPr>
          <w:p w14:paraId="77279B50" w14:textId="77777777" w:rsidR="002D4D4E" w:rsidRPr="00C1307E" w:rsidRDefault="002D4D4E"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Pr>
                <w:rFonts w:ascii="Arial" w:hAnsi="Arial" w:cs="Arial"/>
                <w:sz w:val="18"/>
                <w:szCs w:val="18"/>
              </w:rPr>
              <w:t xml:space="preserve">Reputations- und Step-In-Risiken </w:t>
            </w:r>
            <w:r w:rsidRPr="00C1307E">
              <w:rPr>
                <w:rFonts w:ascii="Arial" w:hAnsi="Arial" w:cs="Arial"/>
                <w:sz w:val="18"/>
                <w:szCs w:val="18"/>
              </w:rPr>
              <w:t>angemessen ausgestaltet ist.</w:t>
            </w:r>
          </w:p>
        </w:tc>
        <w:tc>
          <w:tcPr>
            <w:tcW w:w="3382" w:type="dxa"/>
          </w:tcPr>
          <w:p w14:paraId="457E49CB" w14:textId="77777777" w:rsidR="002D4D4E" w:rsidRPr="00E109DF" w:rsidRDefault="002D4D4E" w:rsidP="0036650A">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637CCB71" w14:textId="77777777" w:rsidTr="0036650A">
        <w:tc>
          <w:tcPr>
            <w:tcW w:w="5798" w:type="dxa"/>
            <w:gridSpan w:val="3"/>
          </w:tcPr>
          <w:p w14:paraId="27FABB9E" w14:textId="77777777"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Pr>
                <w:rFonts w:ascii="Arial" w:hAnsi="Arial" w:cs="Arial"/>
                <w:sz w:val="18"/>
                <w:szCs w:val="18"/>
              </w:rPr>
              <w:t>Reputations- und Step-In-Risiken</w:t>
            </w:r>
            <w:r w:rsidRPr="00C1307E">
              <w:rPr>
                <w:rFonts w:ascii="Arial" w:hAnsi="Arial" w:cs="Arial"/>
                <w:sz w:val="18"/>
                <w:szCs w:val="18"/>
              </w:rPr>
              <w:t xml:space="preserve"> 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58FC5604"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D4D4E" w:rsidRPr="009872F3" w14:paraId="55F9A0D4" w14:textId="77777777" w:rsidTr="0036650A">
        <w:tc>
          <w:tcPr>
            <w:tcW w:w="5798" w:type="dxa"/>
            <w:gridSpan w:val="3"/>
          </w:tcPr>
          <w:p w14:paraId="45958EC8" w14:textId="77777777" w:rsidR="002D4D4E" w:rsidRPr="00C1307E" w:rsidRDefault="002D4D4E" w:rsidP="0036650A">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Pr>
                <w:rFonts w:ascii="Arial" w:hAnsi="Arial" w:cs="Arial"/>
                <w:sz w:val="18"/>
                <w:szCs w:val="18"/>
              </w:rPr>
              <w:t xml:space="preserve">Reputations- und Step-In-Risiken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15937B9B" w14:textId="77777777" w:rsidR="002D4D4E" w:rsidRPr="009872F3" w:rsidRDefault="002D4D4E" w:rsidP="0036650A">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49BD5B5" w14:textId="77777777" w:rsidR="002D4D4E" w:rsidRPr="00CE3194" w:rsidRDefault="002D4D4E" w:rsidP="002D4D4E">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2D4D4E" w:rsidRPr="00CE3194" w14:paraId="7ABF9BB8" w14:textId="77777777" w:rsidTr="0036650A">
        <w:tc>
          <w:tcPr>
            <w:tcW w:w="2660" w:type="dxa"/>
          </w:tcPr>
          <w:p w14:paraId="496261C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E4E3E79" w14:textId="77777777" w:rsidR="002D4D4E" w:rsidRPr="00CE3194" w:rsidRDefault="002D4D4E" w:rsidP="0036650A">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2D4D4E" w:rsidRPr="00CE3194" w14:paraId="36CA0FC2" w14:textId="77777777" w:rsidTr="0036650A">
        <w:tc>
          <w:tcPr>
            <w:tcW w:w="2660" w:type="dxa"/>
          </w:tcPr>
          <w:p w14:paraId="23C5D409"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7643036" w14:textId="77777777" w:rsidR="00D8345E" w:rsidRDefault="00D8345E" w:rsidP="00D8345E">
            <w:pPr>
              <w:jc w:val="both"/>
              <w:rPr>
                <w:rFonts w:ascii="Arial" w:hAnsi="Arial" w:cs="Arial"/>
                <w:i/>
                <w:sz w:val="20"/>
                <w:szCs w:val="20"/>
                <w:highlight w:val="lightGray"/>
              </w:rPr>
            </w:pPr>
          </w:p>
          <w:p w14:paraId="599A8ABE" w14:textId="77777777" w:rsidR="002D4D4E"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18C9701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02DD1C3D"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7790FE63" w14:textId="7B856193"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107C1EF2"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4BBE197"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5632872C" w14:textId="77777777" w:rsidTr="0036650A">
        <w:tc>
          <w:tcPr>
            <w:tcW w:w="2660" w:type="dxa"/>
          </w:tcPr>
          <w:p w14:paraId="00CB5E45"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t>Internes Kontrollsystem</w:t>
            </w:r>
          </w:p>
          <w:p w14:paraId="14EC39E9" w14:textId="77777777" w:rsidR="0074539F" w:rsidRPr="00CE3194" w:rsidRDefault="0074539F" w:rsidP="0036650A">
            <w:pPr>
              <w:jc w:val="both"/>
              <w:rPr>
                <w:rFonts w:ascii="Arial" w:hAnsi="Arial" w:cs="Arial"/>
                <w:i/>
                <w:sz w:val="20"/>
                <w:szCs w:val="20"/>
                <w:highlight w:val="lightGray"/>
              </w:rPr>
            </w:pPr>
          </w:p>
        </w:tc>
        <w:tc>
          <w:tcPr>
            <w:tcW w:w="6520" w:type="dxa"/>
          </w:tcPr>
          <w:p w14:paraId="45766601" w14:textId="09D78D9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6A3408D8" w14:textId="46FD3FCF"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69442BC5" w14:textId="7C85C85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77501495" w14:textId="77777777" w:rsidR="0074539F" w:rsidRPr="00CE3194" w:rsidRDefault="0074539F"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Die internen Verfahren stellen den internen Wissenstransfer (Berichterstattung) angemessen sicher</w:t>
            </w:r>
          </w:p>
        </w:tc>
      </w:tr>
      <w:tr w:rsidR="002D4D4E" w14:paraId="0B8B3AD2" w14:textId="77777777" w:rsidTr="0036650A">
        <w:tc>
          <w:tcPr>
            <w:tcW w:w="2660" w:type="dxa"/>
          </w:tcPr>
          <w:p w14:paraId="6B788450" w14:textId="77777777" w:rsidR="002D4D4E" w:rsidRDefault="002D4D4E" w:rsidP="0036650A">
            <w:pPr>
              <w:jc w:val="both"/>
              <w:rPr>
                <w:rFonts w:ascii="Arial" w:hAnsi="Arial" w:cs="Arial"/>
                <w:i/>
                <w:sz w:val="20"/>
                <w:szCs w:val="20"/>
              </w:rPr>
            </w:pPr>
            <w:r w:rsidRPr="00CE3194">
              <w:rPr>
                <w:rFonts w:ascii="Arial" w:hAnsi="Arial" w:cs="Arial"/>
                <w:i/>
                <w:sz w:val="20"/>
                <w:szCs w:val="20"/>
                <w:highlight w:val="lightGray"/>
              </w:rPr>
              <w:lastRenderedPageBreak/>
              <w:t>Risikomanagement</w:t>
            </w:r>
          </w:p>
        </w:tc>
        <w:tc>
          <w:tcPr>
            <w:tcW w:w="6520" w:type="dxa"/>
          </w:tcPr>
          <w:p w14:paraId="0978EF65" w14:textId="17AF862A"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p>
          <w:p w14:paraId="7F84B2C1"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20CA97BE"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172C10CB" w14:textId="77777777" w:rsidR="002D4D4E" w:rsidRPr="00CE3194" w:rsidRDefault="002D4D4E" w:rsidP="0036650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C8AF0E7" w14:textId="77777777" w:rsidR="002D4D4E" w:rsidRPr="005B66F8" w:rsidRDefault="002D4D4E" w:rsidP="0036650A">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108CFB23" w14:textId="2D60169A"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sidRPr="0099798B">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p>
        </w:tc>
      </w:tr>
    </w:tbl>
    <w:p w14:paraId="775C3A3D" w14:textId="77777777" w:rsidR="002D4D4E" w:rsidRDefault="002D4D4E" w:rsidP="00CB3EE6">
      <w:pPr>
        <w:jc w:val="both"/>
        <w:rPr>
          <w:rFonts w:cs="Arial"/>
          <w:szCs w:val="20"/>
        </w:rPr>
      </w:pPr>
    </w:p>
    <w:p w14:paraId="28333FF4"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1294EFA" w14:textId="77777777" w:rsidR="00E70DF4" w:rsidRDefault="00E70DF4" w:rsidP="00CB3EE6">
      <w:pPr>
        <w:jc w:val="both"/>
        <w:rPr>
          <w:rFonts w:cs="Arial"/>
          <w:szCs w:val="20"/>
        </w:rPr>
      </w:pPr>
    </w:p>
    <w:p w14:paraId="38C7B6C5" w14:textId="77777777" w:rsidR="002D4D4E" w:rsidRPr="006730AC" w:rsidRDefault="002D4D4E" w:rsidP="00CB3EE6">
      <w:pPr>
        <w:jc w:val="both"/>
        <w:rPr>
          <w:rFonts w:cs="Arial"/>
          <w:szCs w:val="20"/>
        </w:rPr>
      </w:pPr>
    </w:p>
    <w:p w14:paraId="60BB7742" w14:textId="44830D4F" w:rsidR="00A84BF6" w:rsidRDefault="00757204" w:rsidP="006F7AB5">
      <w:pPr>
        <w:pStyle w:val="FINMAGliederungEbene3"/>
      </w:pPr>
      <w:bookmarkStart w:id="54" w:name="_Toc216425803"/>
      <w:r w:rsidRPr="002E5C20">
        <w:rPr>
          <w:highlight w:val="yellow"/>
        </w:rPr>
        <w:t>[</w:t>
      </w:r>
      <w:r w:rsidR="008C30D1" w:rsidRPr="002E5C20">
        <w:rPr>
          <w:highlight w:val="yellow"/>
        </w:rPr>
        <w:t xml:space="preserve">Weitere sonstige Risiken von </w:t>
      </w:r>
      <w:r w:rsidR="008C30D1" w:rsidRPr="0099798B">
        <w:rPr>
          <w:highlight w:val="yellow"/>
        </w:rPr>
        <w:t xml:space="preserve">der </w:t>
      </w:r>
      <w:r w:rsidR="009F1ACA" w:rsidRPr="0099798B">
        <w:rPr>
          <w:i/>
          <w:szCs w:val="20"/>
          <w:highlight w:val="yellow"/>
        </w:rPr>
        <w:t>Revisionsstelle</w:t>
      </w:r>
      <w:r w:rsidR="008C30D1" w:rsidRPr="0099798B">
        <w:rPr>
          <w:highlight w:val="yellow"/>
        </w:rPr>
        <w:t xml:space="preserve"> </w:t>
      </w:r>
      <w:r w:rsidR="008C30D1" w:rsidRPr="002E5C20">
        <w:rPr>
          <w:highlight w:val="yellow"/>
        </w:rPr>
        <w:t>zu definieren</w:t>
      </w:r>
      <w:r w:rsidRPr="002E5C20">
        <w:rPr>
          <w:highlight w:val="yellow"/>
        </w:rPr>
        <w:t>]</w:t>
      </w:r>
      <w:r w:rsidR="00543DCA">
        <w:t xml:space="preserve"> </w:t>
      </w:r>
      <w:r w:rsidR="00DB5BE8" w:rsidRPr="006730AC">
        <w:t>(GR-3</w:t>
      </w:r>
      <w:r w:rsidR="00287F87">
        <w:t>6</w:t>
      </w:r>
      <w:r w:rsidR="00543DCA" w:rsidRPr="006730AC">
        <w:t>)</w:t>
      </w:r>
      <w:bookmarkEnd w:id="54"/>
    </w:p>
    <w:p w14:paraId="12DB1B10" w14:textId="77777777" w:rsidR="00A84BF6" w:rsidRDefault="00A84BF6" w:rsidP="00CB3EE6">
      <w:pPr>
        <w:jc w:val="both"/>
        <w:rPr>
          <w:rFonts w:cs="Arial"/>
          <w:szCs w:val="20"/>
        </w:rPr>
      </w:pPr>
    </w:p>
    <w:tbl>
      <w:tblPr>
        <w:tblStyle w:val="Tabellenraster"/>
        <w:tblW w:w="0" w:type="auto"/>
        <w:tblLook w:val="04A0" w:firstRow="1" w:lastRow="0" w:firstColumn="1" w:lastColumn="0" w:noHBand="0" w:noVBand="1"/>
      </w:tblPr>
      <w:tblGrid>
        <w:gridCol w:w="1932"/>
        <w:gridCol w:w="2145"/>
        <w:gridCol w:w="1721"/>
        <w:gridCol w:w="3382"/>
      </w:tblGrid>
      <w:tr w:rsidR="00A84BF6" w:rsidRPr="009872F3" w14:paraId="0EFBBFB4" w14:textId="77777777" w:rsidTr="00DB5BE8">
        <w:trPr>
          <w:trHeight w:val="563"/>
        </w:trPr>
        <w:tc>
          <w:tcPr>
            <w:tcW w:w="1932" w:type="dxa"/>
          </w:tcPr>
          <w:p w14:paraId="7AA9E07E"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Nettorisiko</w:t>
            </w:r>
          </w:p>
        </w:tc>
        <w:tc>
          <w:tcPr>
            <w:tcW w:w="2145" w:type="dxa"/>
          </w:tcPr>
          <w:p w14:paraId="62163E01"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A558C80"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A84BF6" w:rsidRPr="009872F3" w14:paraId="14C9631B" w14:textId="77777777" w:rsidTr="00DB5BE8">
        <w:trPr>
          <w:trHeight w:val="698"/>
        </w:trPr>
        <w:tc>
          <w:tcPr>
            <w:tcW w:w="1932" w:type="dxa"/>
          </w:tcPr>
          <w:p w14:paraId="6AF60E84" w14:textId="36E3F82F"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C97CBA5" w14:textId="77777777" w:rsidR="00A84BF6" w:rsidRPr="006749F0" w:rsidRDefault="00A84BF6" w:rsidP="00DB5BE8">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66C7625" w14:textId="77777777" w:rsidR="00A84BF6" w:rsidRPr="009872F3" w:rsidRDefault="00A84BF6" w:rsidP="00DB5BE8">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9FD575C" w14:textId="77777777" w:rsidR="00A84BF6" w:rsidRDefault="00A84BF6" w:rsidP="00DB5BE8">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70D502B" w14:textId="77777777" w:rsidR="00A84BF6" w:rsidRPr="006749F0" w:rsidRDefault="00A84BF6" w:rsidP="00DB5BE8">
            <w:pPr>
              <w:jc w:val="both"/>
              <w:rPr>
                <w:rFonts w:ascii="Arial" w:hAnsi="Arial" w:cs="Arial"/>
                <w:i/>
                <w:sz w:val="18"/>
                <w:szCs w:val="18"/>
              </w:rPr>
            </w:pPr>
            <w:r w:rsidRPr="006749F0">
              <w:rPr>
                <w:rFonts w:ascii="Arial" w:hAnsi="Arial" w:cs="Arial"/>
                <w:i/>
                <w:sz w:val="18"/>
                <w:szCs w:val="18"/>
                <w:highlight w:val="yellow"/>
              </w:rPr>
              <w:t>Jahr</w:t>
            </w:r>
          </w:p>
        </w:tc>
      </w:tr>
      <w:tr w:rsidR="00A84BF6" w:rsidRPr="009872F3" w14:paraId="7A5A43AB" w14:textId="77777777" w:rsidTr="00DB5BE8">
        <w:trPr>
          <w:trHeight w:val="636"/>
        </w:trPr>
        <w:tc>
          <w:tcPr>
            <w:tcW w:w="9180" w:type="dxa"/>
            <w:gridSpan w:val="4"/>
          </w:tcPr>
          <w:p w14:paraId="0CEBC25A" w14:textId="77777777" w:rsidR="00A84BF6" w:rsidRDefault="00A84BF6" w:rsidP="00DB5BE8">
            <w:pPr>
              <w:jc w:val="both"/>
              <w:rPr>
                <w:rFonts w:ascii="Arial" w:hAnsi="Arial" w:cs="Arial"/>
                <w:sz w:val="18"/>
                <w:szCs w:val="18"/>
              </w:rPr>
            </w:pPr>
          </w:p>
          <w:p w14:paraId="4B8BAB5F" w14:textId="77777777" w:rsidR="00A84BF6" w:rsidRDefault="00A84BF6" w:rsidP="00DB5BE8">
            <w:pPr>
              <w:jc w:val="both"/>
              <w:rPr>
                <w:rFonts w:ascii="Arial" w:hAnsi="Arial" w:cs="Arial"/>
                <w:sz w:val="18"/>
                <w:szCs w:val="18"/>
              </w:rPr>
            </w:pPr>
            <w:r>
              <w:rPr>
                <w:rFonts w:ascii="Arial" w:hAnsi="Arial" w:cs="Arial"/>
                <w:sz w:val="18"/>
                <w:szCs w:val="18"/>
              </w:rPr>
              <w:t>Referenzen:</w:t>
            </w:r>
          </w:p>
          <w:p w14:paraId="483A2996" w14:textId="77777777" w:rsidR="00A84BF6" w:rsidRPr="009872F3" w:rsidRDefault="00A84BF6" w:rsidP="00DB5BE8">
            <w:pPr>
              <w:jc w:val="both"/>
              <w:rPr>
                <w:rFonts w:ascii="Arial" w:hAnsi="Arial" w:cs="Arial"/>
                <w:sz w:val="18"/>
                <w:szCs w:val="18"/>
              </w:rPr>
            </w:pPr>
            <w:r w:rsidRPr="00276C60">
              <w:rPr>
                <w:rFonts w:ascii="Arial" w:hAnsi="Arial" w:cs="Arial"/>
                <w:sz w:val="18"/>
                <w:szCs w:val="18"/>
                <w:highlight w:val="yellow"/>
              </w:rPr>
              <w:t>tbd</w:t>
            </w:r>
          </w:p>
        </w:tc>
      </w:tr>
      <w:tr w:rsidR="00A84BF6" w:rsidRPr="009872F3" w14:paraId="645F6686" w14:textId="77777777" w:rsidTr="00DB5BE8">
        <w:trPr>
          <w:trHeight w:val="294"/>
        </w:trPr>
        <w:tc>
          <w:tcPr>
            <w:tcW w:w="9180" w:type="dxa"/>
            <w:gridSpan w:val="4"/>
          </w:tcPr>
          <w:p w14:paraId="73E2F1B3" w14:textId="77777777" w:rsidR="00A84BF6" w:rsidRPr="009872F3" w:rsidRDefault="00A84BF6" w:rsidP="00DB5BE8">
            <w:pPr>
              <w:jc w:val="both"/>
              <w:rPr>
                <w:rFonts w:ascii="Arial" w:hAnsi="Arial" w:cs="Arial"/>
                <w:sz w:val="18"/>
                <w:szCs w:val="18"/>
              </w:rPr>
            </w:pPr>
          </w:p>
        </w:tc>
      </w:tr>
      <w:tr w:rsidR="00A84BF6" w:rsidRPr="009872F3" w14:paraId="6729EFAC" w14:textId="77777777" w:rsidTr="00DB5BE8">
        <w:tc>
          <w:tcPr>
            <w:tcW w:w="5798" w:type="dxa"/>
            <w:gridSpan w:val="3"/>
          </w:tcPr>
          <w:p w14:paraId="3AECFE51" w14:textId="77777777" w:rsidR="00A84BF6" w:rsidRPr="00C1307E" w:rsidRDefault="00A84BF6" w:rsidP="006730AC">
            <w:pPr>
              <w:jc w:val="both"/>
              <w:rPr>
                <w:rFonts w:ascii="Arial" w:hAnsi="Arial" w:cs="Arial"/>
                <w:sz w:val="18"/>
                <w:szCs w:val="18"/>
              </w:rPr>
            </w:pPr>
            <w:r w:rsidRPr="00C1307E">
              <w:rPr>
                <w:rFonts w:ascii="Arial" w:hAnsi="Arial" w:cs="Arial"/>
                <w:sz w:val="18"/>
                <w:szCs w:val="18"/>
              </w:rPr>
              <w:t xml:space="preserve">Bestätigung, dass die interne Organisation </w:t>
            </w:r>
            <w:r>
              <w:rPr>
                <w:rFonts w:ascii="Arial" w:hAnsi="Arial" w:cs="Arial"/>
                <w:sz w:val="18"/>
                <w:szCs w:val="18"/>
              </w:rPr>
              <w:t xml:space="preserve">(Organisationsstruktur, Verantwortlichkeiten und Kompetenzen, Internes Weisungswesen, Ressourcen, Know-How, Interessenskonflikte) </w:t>
            </w:r>
            <w:r w:rsidRPr="00C1307E">
              <w:rPr>
                <w:rFonts w:ascii="Arial" w:hAnsi="Arial" w:cs="Arial"/>
                <w:sz w:val="18"/>
                <w:szCs w:val="18"/>
              </w:rPr>
              <w:t xml:space="preserve">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ausgestaltet ist.</w:t>
            </w:r>
          </w:p>
        </w:tc>
        <w:tc>
          <w:tcPr>
            <w:tcW w:w="3382" w:type="dxa"/>
          </w:tcPr>
          <w:p w14:paraId="30E548E3" w14:textId="77777777" w:rsidR="00A84BF6" w:rsidRPr="00E109DF" w:rsidRDefault="00A84BF6" w:rsidP="00DB5BE8">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252FADE4" w14:textId="77777777" w:rsidTr="00DB5BE8">
        <w:tc>
          <w:tcPr>
            <w:tcW w:w="5798" w:type="dxa"/>
            <w:gridSpan w:val="3"/>
          </w:tcPr>
          <w:p w14:paraId="4EDC9710"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das Interne Kontrollsystem für das Management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w:t>
            </w:r>
            <w:r>
              <w:rPr>
                <w:rFonts w:ascii="Arial" w:hAnsi="Arial" w:cs="Arial"/>
                <w:sz w:val="18"/>
                <w:szCs w:val="18"/>
              </w:rPr>
              <w:t>sen</w:t>
            </w:r>
            <w:r w:rsidRPr="00C1307E">
              <w:rPr>
                <w:rFonts w:ascii="Arial" w:hAnsi="Arial" w:cs="Arial"/>
                <w:sz w:val="18"/>
                <w:szCs w:val="18"/>
              </w:rPr>
              <w:t xml:space="preserve"> ist</w:t>
            </w:r>
            <w:r>
              <w:rPr>
                <w:rFonts w:ascii="Arial" w:hAnsi="Arial" w:cs="Arial"/>
                <w:sz w:val="18"/>
                <w:szCs w:val="18"/>
              </w:rPr>
              <w:t xml:space="preserve"> und im Falle der Prüftiefe Detailprüfung effektiv angewendet wurden.</w:t>
            </w:r>
          </w:p>
        </w:tc>
        <w:tc>
          <w:tcPr>
            <w:tcW w:w="3382" w:type="dxa"/>
          </w:tcPr>
          <w:p w14:paraId="7F9C2B22"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84BF6" w:rsidRPr="009872F3" w14:paraId="7CA52AFF" w14:textId="77777777" w:rsidTr="00DB5BE8">
        <w:tc>
          <w:tcPr>
            <w:tcW w:w="5798" w:type="dxa"/>
            <w:gridSpan w:val="3"/>
          </w:tcPr>
          <w:p w14:paraId="312EC518" w14:textId="77777777" w:rsidR="00A84BF6" w:rsidRPr="00C1307E" w:rsidRDefault="00A84BF6" w:rsidP="00DB5BE8">
            <w:pPr>
              <w:jc w:val="both"/>
              <w:rPr>
                <w:rFonts w:ascii="Arial" w:hAnsi="Arial" w:cs="Arial"/>
                <w:sz w:val="18"/>
                <w:szCs w:val="18"/>
              </w:rPr>
            </w:pPr>
            <w:r w:rsidRPr="00C1307E">
              <w:rPr>
                <w:rFonts w:ascii="Arial" w:hAnsi="Arial" w:cs="Arial"/>
                <w:sz w:val="18"/>
                <w:szCs w:val="18"/>
              </w:rPr>
              <w:t xml:space="preserve">Bestätigung, dass die Methoden zur Identifikation, Bewertung, Messung, Begrenzung, Überwachung und Steuerung von </w:t>
            </w:r>
            <w:r w:rsidRPr="00276C60">
              <w:rPr>
                <w:rFonts w:ascii="Arial" w:hAnsi="Arial" w:cs="Arial"/>
                <w:sz w:val="18"/>
                <w:szCs w:val="18"/>
                <w:highlight w:val="yellow"/>
              </w:rPr>
              <w:t>[</w:t>
            </w:r>
            <w:r>
              <w:rPr>
                <w:rFonts w:ascii="Arial" w:hAnsi="Arial" w:cs="Arial"/>
                <w:sz w:val="18"/>
                <w:szCs w:val="18"/>
                <w:highlight w:val="yellow"/>
              </w:rPr>
              <w:t xml:space="preserve">weiteren sonstigen Risiken – </w:t>
            </w:r>
            <w:r w:rsidRPr="00276C60">
              <w:rPr>
                <w:rFonts w:ascii="Arial" w:hAnsi="Arial" w:cs="Arial"/>
                <w:sz w:val="18"/>
                <w:szCs w:val="18"/>
                <w:highlight w:val="yellow"/>
              </w:rPr>
              <w:t>tbd]</w:t>
            </w:r>
            <w:r>
              <w:rPr>
                <w:rFonts w:ascii="Arial" w:hAnsi="Arial" w:cs="Arial"/>
                <w:sz w:val="18"/>
                <w:szCs w:val="18"/>
              </w:rPr>
              <w:t xml:space="preserve"> </w:t>
            </w:r>
            <w:r w:rsidRPr="00C1307E">
              <w:rPr>
                <w:rFonts w:ascii="Arial" w:hAnsi="Arial" w:cs="Arial"/>
                <w:sz w:val="18"/>
                <w:szCs w:val="18"/>
              </w:rPr>
              <w:t>angemessen sind</w:t>
            </w:r>
            <w:r>
              <w:rPr>
                <w:rFonts w:ascii="Arial" w:hAnsi="Arial" w:cs="Arial"/>
                <w:sz w:val="18"/>
                <w:szCs w:val="18"/>
              </w:rPr>
              <w:t xml:space="preserve"> und im Falle der Prüftiefe Detailprüfung effektiv angewendet wurden</w:t>
            </w:r>
            <w:r w:rsidRPr="00C1307E">
              <w:rPr>
                <w:rFonts w:ascii="Arial" w:hAnsi="Arial" w:cs="Arial"/>
                <w:sz w:val="18"/>
                <w:szCs w:val="18"/>
              </w:rPr>
              <w:t xml:space="preserve">. </w:t>
            </w:r>
          </w:p>
        </w:tc>
        <w:tc>
          <w:tcPr>
            <w:tcW w:w="3382" w:type="dxa"/>
          </w:tcPr>
          <w:p w14:paraId="6A4BE536" w14:textId="77777777" w:rsidR="00A84BF6" w:rsidRPr="009872F3" w:rsidRDefault="00A84BF6" w:rsidP="00DB5BE8">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676F656E" w14:textId="77777777" w:rsidR="00A84BF6" w:rsidRPr="00CE3194" w:rsidRDefault="00A84BF6" w:rsidP="00A84BF6">
      <w:pPr>
        <w:jc w:val="both"/>
        <w:rPr>
          <w:rFonts w:ascii="Arial" w:hAnsi="Arial" w:cs="Arial"/>
          <w:i/>
          <w:sz w:val="20"/>
          <w:szCs w:val="20"/>
          <w:highlight w:val="lightGray"/>
        </w:rPr>
      </w:pPr>
    </w:p>
    <w:tbl>
      <w:tblPr>
        <w:tblStyle w:val="Tabellenraster"/>
        <w:tblW w:w="0" w:type="auto"/>
        <w:tblLook w:val="04A0" w:firstRow="1" w:lastRow="0" w:firstColumn="1" w:lastColumn="0" w:noHBand="0" w:noVBand="1"/>
      </w:tblPr>
      <w:tblGrid>
        <w:gridCol w:w="2660"/>
        <w:gridCol w:w="6520"/>
      </w:tblGrid>
      <w:tr w:rsidR="00A84BF6" w:rsidRPr="00CE3194" w14:paraId="48C26B48" w14:textId="77777777" w:rsidTr="00DB5BE8">
        <w:tc>
          <w:tcPr>
            <w:tcW w:w="2660" w:type="dxa"/>
          </w:tcPr>
          <w:p w14:paraId="37932346"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2BD0701" w14:textId="77777777" w:rsidR="00A84BF6" w:rsidRPr="00CE3194" w:rsidRDefault="00A84BF6" w:rsidP="00DB5BE8">
            <w:pPr>
              <w:jc w:val="both"/>
              <w:rPr>
                <w:rFonts w:ascii="Arial" w:hAnsi="Arial" w:cs="Arial"/>
                <w:b/>
                <w:i/>
                <w:sz w:val="20"/>
                <w:szCs w:val="20"/>
                <w:highlight w:val="lightGray"/>
              </w:rPr>
            </w:pPr>
            <w:r w:rsidRPr="00CE3194">
              <w:rPr>
                <w:rFonts w:ascii="Arial" w:hAnsi="Arial" w:cs="Arial"/>
                <w:b/>
                <w:i/>
                <w:sz w:val="20"/>
                <w:szCs w:val="20"/>
                <w:highlight w:val="lightGray"/>
              </w:rPr>
              <w:t>Min</w:t>
            </w:r>
            <w:r>
              <w:rPr>
                <w:rFonts w:ascii="Arial" w:hAnsi="Arial" w:cs="Arial"/>
                <w:b/>
                <w:i/>
                <w:sz w:val="20"/>
                <w:szCs w:val="20"/>
                <w:highlight w:val="lightGray"/>
              </w:rPr>
              <w:t>destp</w:t>
            </w:r>
            <w:r w:rsidRPr="00CE3194">
              <w:rPr>
                <w:rFonts w:ascii="Arial" w:hAnsi="Arial" w:cs="Arial"/>
                <w:b/>
                <w:i/>
                <w:sz w:val="20"/>
                <w:szCs w:val="20"/>
                <w:highlight w:val="lightGray"/>
              </w:rPr>
              <w:t>rüfinhalte</w:t>
            </w:r>
          </w:p>
        </w:tc>
      </w:tr>
      <w:tr w:rsidR="00A84BF6" w:rsidRPr="00CE3194" w14:paraId="76371B80" w14:textId="77777777" w:rsidTr="00DB5BE8">
        <w:tc>
          <w:tcPr>
            <w:tcW w:w="2660" w:type="dxa"/>
          </w:tcPr>
          <w:p w14:paraId="659A92A7" w14:textId="77777777" w:rsidR="00D8345E" w:rsidRDefault="00D8345E" w:rsidP="00D8345E">
            <w:pPr>
              <w:jc w:val="both"/>
              <w:rPr>
                <w:rFonts w:ascii="Arial" w:hAnsi="Arial" w:cs="Arial"/>
                <w:i/>
                <w:sz w:val="20"/>
                <w:szCs w:val="20"/>
                <w:highlight w:val="lightGray"/>
              </w:rPr>
            </w:pPr>
            <w:r w:rsidRPr="00511890">
              <w:rPr>
                <w:rFonts w:ascii="Arial" w:hAnsi="Arial" w:cs="Arial"/>
                <w:i/>
                <w:sz w:val="20"/>
                <w:szCs w:val="20"/>
                <w:highlight w:val="lightGray"/>
              </w:rPr>
              <w:t xml:space="preserve">Interne Organisation </w:t>
            </w:r>
          </w:p>
          <w:p w14:paraId="75F90747" w14:textId="77777777" w:rsidR="00D8345E" w:rsidRDefault="00D8345E" w:rsidP="00D8345E">
            <w:pPr>
              <w:jc w:val="both"/>
              <w:rPr>
                <w:rFonts w:ascii="Arial" w:hAnsi="Arial" w:cs="Arial"/>
                <w:i/>
                <w:sz w:val="20"/>
                <w:szCs w:val="20"/>
                <w:highlight w:val="lightGray"/>
              </w:rPr>
            </w:pPr>
          </w:p>
          <w:p w14:paraId="6D991D3C" w14:textId="77777777" w:rsidR="00A84BF6" w:rsidRPr="00511890" w:rsidRDefault="00D8345E" w:rsidP="00D8345E">
            <w:pPr>
              <w:jc w:val="both"/>
              <w:rPr>
                <w:rFonts w:ascii="Arial" w:hAnsi="Arial" w:cs="Arial"/>
                <w:i/>
                <w:sz w:val="20"/>
                <w:szCs w:val="20"/>
                <w:highlight w:val="lightGray"/>
              </w:rPr>
            </w:pPr>
            <w:r w:rsidRPr="00667026">
              <w:rPr>
                <w:rFonts w:ascii="Arial" w:hAnsi="Arial" w:cs="Arial"/>
                <w:i/>
                <w:sz w:val="20"/>
                <w:szCs w:val="20"/>
                <w:highlight w:val="lightGray"/>
              </w:rPr>
              <w:t>(Organisationsstruktur, Verantwortlichkeiten und Kompetenzen, Internes Weisungswesen, Ressourcen</w:t>
            </w:r>
            <w:r>
              <w:rPr>
                <w:rFonts w:ascii="Arial" w:hAnsi="Arial" w:cs="Arial"/>
                <w:i/>
                <w:sz w:val="20"/>
                <w:szCs w:val="20"/>
                <w:highlight w:val="lightGray"/>
              </w:rPr>
              <w:t xml:space="preserve"> (personell und technisch)</w:t>
            </w:r>
            <w:r w:rsidRPr="00667026">
              <w:rPr>
                <w:rFonts w:ascii="Arial" w:hAnsi="Arial" w:cs="Arial"/>
                <w:i/>
                <w:sz w:val="20"/>
                <w:szCs w:val="20"/>
                <w:highlight w:val="lightGray"/>
              </w:rPr>
              <w:t>, Know-How, Interessenskonflikte)</w:t>
            </w:r>
          </w:p>
        </w:tc>
        <w:tc>
          <w:tcPr>
            <w:tcW w:w="6520" w:type="dxa"/>
          </w:tcPr>
          <w:p w14:paraId="26037D1C"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angemessene Verfahren zur Vermeidung, Reduzierung und Offenlegung von Interessenkonflikten;</w:t>
            </w:r>
          </w:p>
          <w:p w14:paraId="6EE36DD1"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 interne Eskalationsmechanismen;</w:t>
            </w:r>
          </w:p>
          <w:p w14:paraId="25F8D22E" w14:textId="33634071"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sind klar </w:t>
            </w:r>
            <w:r w:rsidR="007D341F">
              <w:rPr>
                <w:rFonts w:cs="Arial"/>
                <w:i/>
                <w:szCs w:val="20"/>
                <w:highlight w:val="lightGray"/>
              </w:rPr>
              <w:t>und angemessen</w:t>
            </w:r>
            <w:r w:rsidR="007D341F" w:rsidRPr="00CE3194">
              <w:rPr>
                <w:rFonts w:cs="Arial"/>
                <w:i/>
                <w:szCs w:val="20"/>
                <w:highlight w:val="lightGray"/>
              </w:rPr>
              <w:t xml:space="preserve"> </w:t>
            </w:r>
            <w:r w:rsidRPr="00CE3194">
              <w:rPr>
                <w:rFonts w:cs="Arial"/>
                <w:i/>
                <w:szCs w:val="20"/>
                <w:highlight w:val="lightGray"/>
              </w:rPr>
              <w:t>geregelt;</w:t>
            </w:r>
          </w:p>
          <w:p w14:paraId="55A3EDE0"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die fachliche Eignung und Zuverlässigkeit der Mitarbeiter sicher;</w:t>
            </w:r>
          </w:p>
          <w:p w14:paraId="0CE988F0"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Anzahl und Zusammensetzung der internen Ausschüsse sind angemessen;</w:t>
            </w:r>
          </w:p>
        </w:tc>
      </w:tr>
      <w:tr w:rsidR="0074539F" w:rsidRPr="00CE3194" w14:paraId="3370E05A" w14:textId="77777777" w:rsidTr="00DB5BE8">
        <w:tc>
          <w:tcPr>
            <w:tcW w:w="2660" w:type="dxa"/>
          </w:tcPr>
          <w:p w14:paraId="3B27062B" w14:textId="77777777" w:rsidR="0074539F" w:rsidRDefault="0074539F" w:rsidP="000362E2">
            <w:pPr>
              <w:jc w:val="both"/>
              <w:rPr>
                <w:rFonts w:ascii="Arial" w:hAnsi="Arial" w:cs="Arial"/>
                <w:i/>
                <w:sz w:val="20"/>
                <w:szCs w:val="20"/>
                <w:highlight w:val="lightGray"/>
              </w:rPr>
            </w:pPr>
            <w:r w:rsidRPr="00CE3194">
              <w:rPr>
                <w:rFonts w:ascii="Arial" w:hAnsi="Arial" w:cs="Arial"/>
                <w:i/>
                <w:sz w:val="20"/>
                <w:szCs w:val="20"/>
                <w:highlight w:val="lightGray"/>
              </w:rPr>
              <w:lastRenderedPageBreak/>
              <w:t>Internes Kontrollsystem</w:t>
            </w:r>
          </w:p>
          <w:p w14:paraId="63248572" w14:textId="77777777" w:rsidR="0074539F" w:rsidRPr="00CE3194" w:rsidRDefault="0074539F" w:rsidP="00DB5BE8">
            <w:pPr>
              <w:jc w:val="both"/>
              <w:rPr>
                <w:rFonts w:ascii="Arial" w:hAnsi="Arial" w:cs="Arial"/>
                <w:i/>
                <w:sz w:val="20"/>
                <w:szCs w:val="20"/>
                <w:highlight w:val="lightGray"/>
              </w:rPr>
            </w:pPr>
          </w:p>
        </w:tc>
        <w:tc>
          <w:tcPr>
            <w:tcW w:w="6520" w:type="dxa"/>
          </w:tcPr>
          <w:p w14:paraId="0B2060DA" w14:textId="60082CB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besteht eine angemessene Funktionentrennung zwischen Back- und Frontoffice auf allen wesentlichen Organisationsebenen de</w:t>
            </w:r>
            <w:r>
              <w:rPr>
                <w:rFonts w:cs="Arial"/>
                <w:i/>
                <w:szCs w:val="20"/>
                <w:highlight w:val="lightGray"/>
              </w:rPr>
              <w:t xml:space="preserve">r Bank bzw. </w:t>
            </w:r>
            <w:r w:rsidRPr="00CE3194">
              <w:rPr>
                <w:rFonts w:cs="Arial"/>
                <w:i/>
                <w:szCs w:val="20"/>
                <w:highlight w:val="lightGray"/>
              </w:rPr>
              <w:t>der Gruppe;</w:t>
            </w:r>
          </w:p>
          <w:p w14:paraId="74303707" w14:textId="3FAA26D4"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sehen die Anwendung des 4-Augen-Prinzips </w:t>
            </w:r>
            <w:r w:rsidR="00546003">
              <w:rPr>
                <w:rFonts w:cs="Arial"/>
                <w:i/>
                <w:szCs w:val="20"/>
                <w:highlight w:val="lightGray"/>
              </w:rPr>
              <w:t>oder Funktionstrennung bei Schlüsselkontrollen</w:t>
            </w:r>
            <w:r w:rsidR="00546003" w:rsidRPr="00CE3194">
              <w:rPr>
                <w:rFonts w:cs="Arial"/>
                <w:i/>
                <w:szCs w:val="20"/>
                <w:highlight w:val="lightGray"/>
              </w:rPr>
              <w:t xml:space="preserve"> </w:t>
            </w:r>
            <w:r w:rsidRPr="00CE3194">
              <w:rPr>
                <w:rFonts w:cs="Arial"/>
                <w:i/>
                <w:szCs w:val="20"/>
                <w:highlight w:val="lightGray"/>
              </w:rPr>
              <w:t>vor;</w:t>
            </w:r>
          </w:p>
          <w:p w14:paraId="78BBEB58" w14:textId="7DA069DB" w:rsidR="0074539F" w:rsidRPr="00CE3194" w:rsidRDefault="0074539F" w:rsidP="000362E2">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sidR="00AF6DD8">
              <w:rPr>
                <w:rFonts w:cs="Arial"/>
                <w:i/>
                <w:szCs w:val="20"/>
                <w:highlight w:val="lightGray"/>
              </w:rPr>
              <w:t>gewährleisten</w:t>
            </w:r>
            <w:r w:rsidRPr="00CE3194">
              <w:rPr>
                <w:rFonts w:cs="Arial"/>
                <w:i/>
                <w:szCs w:val="20"/>
                <w:highlight w:val="lightGray"/>
              </w:rPr>
              <w:t xml:space="preserve"> ein angemessenes Dokumentations- und Archivierungswesen;</w:t>
            </w:r>
          </w:p>
          <w:p w14:paraId="5C408D12" w14:textId="77777777" w:rsidR="0074539F" w:rsidRPr="00CE3194" w:rsidRDefault="0074539F"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internen Verfahren stellen den internen Wissenstransfer (Berichterstattung) angemessen sicher</w:t>
            </w:r>
          </w:p>
        </w:tc>
      </w:tr>
      <w:tr w:rsidR="00A84BF6" w14:paraId="26A479AF" w14:textId="77777777" w:rsidTr="00DB5BE8">
        <w:tc>
          <w:tcPr>
            <w:tcW w:w="2660" w:type="dxa"/>
          </w:tcPr>
          <w:p w14:paraId="0C5BBD5B" w14:textId="77777777" w:rsidR="00A84BF6" w:rsidRDefault="00A84BF6" w:rsidP="00DB5BE8">
            <w:pPr>
              <w:jc w:val="both"/>
              <w:rPr>
                <w:rFonts w:ascii="Arial" w:hAnsi="Arial" w:cs="Arial"/>
                <w:i/>
                <w:sz w:val="20"/>
                <w:szCs w:val="20"/>
              </w:rPr>
            </w:pPr>
            <w:r w:rsidRPr="00CE3194">
              <w:rPr>
                <w:rFonts w:ascii="Arial" w:hAnsi="Arial" w:cs="Arial"/>
                <w:i/>
                <w:sz w:val="20"/>
                <w:szCs w:val="20"/>
                <w:highlight w:val="lightGray"/>
              </w:rPr>
              <w:t>Risikomanagement</w:t>
            </w:r>
          </w:p>
        </w:tc>
        <w:tc>
          <w:tcPr>
            <w:tcW w:w="6520" w:type="dxa"/>
          </w:tcPr>
          <w:p w14:paraId="367C0BAC" w14:textId="34A7ED80"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wesentlichen Risiken werden laufend identifiziert, bewertet, gemessen, begrenzt</w:t>
            </w:r>
            <w:r>
              <w:rPr>
                <w:rFonts w:cs="Arial"/>
                <w:i/>
                <w:szCs w:val="20"/>
                <w:highlight w:val="lightGray"/>
              </w:rPr>
              <w:t>, überwacht</w:t>
            </w:r>
            <w:r w:rsidRPr="00CE3194">
              <w:rPr>
                <w:rFonts w:cs="Arial"/>
                <w:i/>
                <w:szCs w:val="20"/>
                <w:highlight w:val="lightGray"/>
              </w:rPr>
              <w:t xml:space="preserve"> und gesteuert;</w:t>
            </w:r>
            <w:r w:rsidR="00BC1DBA">
              <w:rPr>
                <w:rFonts w:cs="Arial"/>
                <w:i/>
                <w:szCs w:val="20"/>
                <w:highlight w:val="lightGray"/>
              </w:rPr>
              <w:t xml:space="preserve"> dabei werden auch ESG-Risikofaktoren angemessen berücksichtigt</w:t>
            </w:r>
            <w:r w:rsidR="00DD7AEF">
              <w:rPr>
                <w:rFonts w:cs="Arial"/>
                <w:i/>
                <w:szCs w:val="20"/>
                <w:highlight w:val="lightGray"/>
              </w:rPr>
              <w:t>, insofern relevant</w:t>
            </w:r>
          </w:p>
          <w:p w14:paraId="4FD8A77D"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Annahmen und Parameter des Risikomanagements werden regelmässig validiert;</w:t>
            </w:r>
          </w:p>
          <w:p w14:paraId="459E56BA"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6672021F" w14:textId="77777777" w:rsidR="00A84BF6" w:rsidRPr="00CE3194" w:rsidRDefault="00A84BF6" w:rsidP="00DB5BE8">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4BBD43ED" w14:textId="77777777" w:rsidR="00A84BF6" w:rsidRPr="005B66F8" w:rsidRDefault="00A84BF6" w:rsidP="00DB5BE8">
            <w:pPr>
              <w:pStyle w:val="Listenabsatz"/>
              <w:numPr>
                <w:ilvl w:val="1"/>
                <w:numId w:val="17"/>
              </w:numPr>
              <w:ind w:left="317" w:hanging="283"/>
              <w:jc w:val="both"/>
              <w:rPr>
                <w:rFonts w:cs="Arial"/>
                <w:i/>
                <w:szCs w:val="20"/>
              </w:rPr>
            </w:pPr>
            <w:r w:rsidRPr="00CE3194">
              <w:rPr>
                <w:rFonts w:cs="Arial"/>
                <w:i/>
                <w:szCs w:val="20"/>
                <w:highlight w:val="lightGray"/>
              </w:rPr>
              <w:t>Das Limitwesen ist konsistent mit den Indikatoren der Sanierungsplanung</w:t>
            </w:r>
          </w:p>
          <w:p w14:paraId="3EC85653" w14:textId="5CB8ED06" w:rsidR="00916839" w:rsidRDefault="00916839" w:rsidP="00380AE2">
            <w:pPr>
              <w:pStyle w:val="Listenabsatz"/>
              <w:numPr>
                <w:ilvl w:val="1"/>
                <w:numId w:val="17"/>
              </w:numPr>
              <w:ind w:left="317" w:hanging="283"/>
              <w:jc w:val="both"/>
              <w:rPr>
                <w:rFonts w:cs="Arial"/>
                <w:i/>
                <w:szCs w:val="20"/>
              </w:rPr>
            </w:pPr>
            <w:r w:rsidRPr="00055C14">
              <w:rPr>
                <w:rFonts w:cs="Arial"/>
                <w:i/>
                <w:szCs w:val="20"/>
                <w:highlight w:val="lightGray"/>
              </w:rPr>
              <w:t>Die limitierten Risiken fliessen in den ICAAP</w:t>
            </w:r>
            <w:r>
              <w:rPr>
                <w:rFonts w:cs="Arial"/>
                <w:i/>
                <w:szCs w:val="20"/>
                <w:highlight w:val="lightGray"/>
              </w:rPr>
              <w:t>/ILAAP</w:t>
            </w:r>
            <w:r w:rsidRPr="00055C14">
              <w:rPr>
                <w:rFonts w:cs="Arial"/>
                <w:i/>
                <w:szCs w:val="20"/>
                <w:highlight w:val="lightGray"/>
              </w:rPr>
              <w:t xml:space="preserve"> und somit in die Gesamtrisikoaggregation sowie in die Gesamtrisikotragfähigkeit der </w:t>
            </w:r>
            <w:r w:rsidR="004D5057" w:rsidRPr="00055C14">
              <w:rPr>
                <w:rFonts w:cs="Arial"/>
                <w:i/>
                <w:szCs w:val="20"/>
                <w:highlight w:val="lightGray"/>
              </w:rPr>
              <w:t>Bank</w:t>
            </w:r>
            <w:r w:rsidR="004D5057">
              <w:rPr>
                <w:rFonts w:cs="Arial"/>
                <w:i/>
                <w:szCs w:val="20"/>
                <w:highlight w:val="lightGray"/>
              </w:rPr>
              <w:t xml:space="preserve"> bzw. der Gruppe</w:t>
            </w:r>
            <w:r w:rsidR="004D5057" w:rsidRPr="00055C14">
              <w:rPr>
                <w:rFonts w:cs="Arial"/>
                <w:i/>
                <w:szCs w:val="20"/>
                <w:highlight w:val="lightGray"/>
              </w:rPr>
              <w:t xml:space="preserve"> </w:t>
            </w:r>
            <w:r w:rsidRPr="00055C14">
              <w:rPr>
                <w:rFonts w:cs="Arial"/>
                <w:i/>
                <w:szCs w:val="20"/>
                <w:highlight w:val="lightGray"/>
              </w:rPr>
              <w:t>mit ein</w:t>
            </w:r>
            <w:r w:rsidR="00380AE2">
              <w:rPr>
                <w:rFonts w:cs="Arial"/>
                <w:i/>
                <w:szCs w:val="20"/>
                <w:highlight w:val="lightGray"/>
              </w:rPr>
              <w:t xml:space="preserve">; </w:t>
            </w:r>
            <w:r w:rsidR="003D4AD9" w:rsidRPr="0099798B">
              <w:rPr>
                <w:rFonts w:cs="Arial"/>
                <w:i/>
                <w:szCs w:val="20"/>
                <w:highlight w:val="lightGray"/>
              </w:rPr>
              <w:t xml:space="preserve">wobei ESG-Risikofaktoren </w:t>
            </w:r>
            <w:r w:rsidR="00243628" w:rsidRPr="0099798B">
              <w:rPr>
                <w:rFonts w:cs="Arial"/>
                <w:i/>
                <w:szCs w:val="20"/>
                <w:highlight w:val="lightGray"/>
              </w:rPr>
              <w:t>qualitativ u/o quantitativ</w:t>
            </w:r>
            <w:r w:rsidR="003D4AD9" w:rsidRPr="0099798B">
              <w:rPr>
                <w:rFonts w:cs="Arial"/>
                <w:i/>
                <w:szCs w:val="20"/>
                <w:highlight w:val="lightGray"/>
              </w:rPr>
              <w:t xml:space="preserve"> berücksichtigt werden</w:t>
            </w:r>
            <w:r w:rsidR="00DD7AEF" w:rsidRPr="0099798B">
              <w:rPr>
                <w:rFonts w:cs="Arial"/>
                <w:i/>
                <w:szCs w:val="20"/>
                <w:highlight w:val="lightGray"/>
              </w:rPr>
              <w:t>, insofern relevant.</w:t>
            </w:r>
          </w:p>
        </w:tc>
      </w:tr>
    </w:tbl>
    <w:p w14:paraId="0EDCE5A6" w14:textId="77777777" w:rsidR="00A84BF6" w:rsidRDefault="00A84BF6" w:rsidP="00CB3EE6">
      <w:pPr>
        <w:jc w:val="both"/>
        <w:rPr>
          <w:rFonts w:cs="Arial"/>
          <w:szCs w:val="20"/>
        </w:rPr>
      </w:pPr>
    </w:p>
    <w:p w14:paraId="4B62D830"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2A0C7CD6" w14:textId="77777777" w:rsidR="00A84BF6" w:rsidRPr="00CB3EE6" w:rsidRDefault="00A84BF6" w:rsidP="00CB3EE6">
      <w:pPr>
        <w:jc w:val="both"/>
        <w:rPr>
          <w:rFonts w:cs="Arial"/>
          <w:szCs w:val="20"/>
        </w:rPr>
      </w:pPr>
    </w:p>
    <w:p w14:paraId="3C1DD796" w14:textId="77777777" w:rsidR="007A36D2" w:rsidRDefault="007A36D2" w:rsidP="000D36E0">
      <w:pPr>
        <w:jc w:val="both"/>
        <w:rPr>
          <w:rFonts w:ascii="Arial" w:hAnsi="Arial" w:cs="Arial"/>
          <w:i/>
          <w:sz w:val="20"/>
          <w:szCs w:val="20"/>
          <w:highlight w:val="lightGray"/>
        </w:rPr>
      </w:pPr>
    </w:p>
    <w:p w14:paraId="5FE47805" w14:textId="77777777" w:rsidR="008C30D1" w:rsidRDefault="008C30D1" w:rsidP="006F7AB5">
      <w:pPr>
        <w:pStyle w:val="FINMAGliederungEbene2"/>
      </w:pPr>
      <w:bookmarkStart w:id="55" w:name="_Toc216425804"/>
      <w:r>
        <w:t>Governance</w:t>
      </w:r>
      <w:bookmarkEnd w:id="55"/>
    </w:p>
    <w:p w14:paraId="5ADD528C" w14:textId="77777777" w:rsidR="0097312C" w:rsidRDefault="0097312C" w:rsidP="00CB3EE6">
      <w:pPr>
        <w:pStyle w:val="Listenabsatz"/>
        <w:ind w:left="792"/>
        <w:jc w:val="both"/>
      </w:pPr>
    </w:p>
    <w:p w14:paraId="77B4B2ED" w14:textId="77777777" w:rsidR="00E864F2" w:rsidRDefault="008C30D1" w:rsidP="006F7AB5">
      <w:pPr>
        <w:pStyle w:val="FINMAGliederungEbene3"/>
      </w:pPr>
      <w:bookmarkStart w:id="56" w:name="_Toc216425805"/>
      <w:r>
        <w:t>Geschäftsleitung</w:t>
      </w:r>
      <w:r w:rsidR="00543DCA">
        <w:t xml:space="preserve"> (GOV-1)</w:t>
      </w:r>
      <w:bookmarkEnd w:id="56"/>
    </w:p>
    <w:p w14:paraId="6A4127C7"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E864F2" w:rsidRPr="009872F3" w14:paraId="00A2E58A" w14:textId="77777777" w:rsidTr="006A378B">
        <w:trPr>
          <w:trHeight w:val="563"/>
        </w:trPr>
        <w:tc>
          <w:tcPr>
            <w:tcW w:w="1932" w:type="dxa"/>
          </w:tcPr>
          <w:p w14:paraId="609FFCE5"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74B5C3D7"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C270976"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E864F2" w:rsidRPr="009872F3" w14:paraId="1C1FA334" w14:textId="77777777" w:rsidTr="006A378B">
        <w:trPr>
          <w:trHeight w:val="698"/>
        </w:trPr>
        <w:tc>
          <w:tcPr>
            <w:tcW w:w="1932" w:type="dxa"/>
          </w:tcPr>
          <w:p w14:paraId="044C8161" w14:textId="62B4F8DE"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60C1A18" w14:textId="77777777" w:rsidR="00E864F2" w:rsidRPr="006749F0" w:rsidRDefault="00E864F2"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951BE01" w14:textId="77777777" w:rsidR="00E864F2" w:rsidRPr="009872F3" w:rsidRDefault="00E864F2"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6FF2F82A" w14:textId="77777777" w:rsidR="00E864F2" w:rsidRDefault="00E864F2"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7275CCA" w14:textId="77777777" w:rsidR="00E864F2" w:rsidRPr="006749F0" w:rsidRDefault="00E864F2" w:rsidP="006A378B">
            <w:pPr>
              <w:jc w:val="both"/>
              <w:rPr>
                <w:rFonts w:ascii="Arial" w:hAnsi="Arial" w:cs="Arial"/>
                <w:i/>
                <w:sz w:val="18"/>
                <w:szCs w:val="18"/>
              </w:rPr>
            </w:pPr>
            <w:r w:rsidRPr="006749F0">
              <w:rPr>
                <w:rFonts w:ascii="Arial" w:hAnsi="Arial" w:cs="Arial"/>
                <w:i/>
                <w:sz w:val="18"/>
                <w:szCs w:val="18"/>
                <w:highlight w:val="yellow"/>
              </w:rPr>
              <w:t>Jahr</w:t>
            </w:r>
          </w:p>
        </w:tc>
      </w:tr>
      <w:tr w:rsidR="00E864F2" w:rsidRPr="00DC249D" w14:paraId="6BC61D4F" w14:textId="77777777" w:rsidTr="006A378B">
        <w:trPr>
          <w:trHeight w:val="636"/>
        </w:trPr>
        <w:tc>
          <w:tcPr>
            <w:tcW w:w="9180" w:type="dxa"/>
            <w:gridSpan w:val="4"/>
          </w:tcPr>
          <w:p w14:paraId="04C4B200" w14:textId="77777777" w:rsidR="00E864F2" w:rsidRDefault="00E864F2" w:rsidP="006A378B">
            <w:pPr>
              <w:jc w:val="both"/>
              <w:rPr>
                <w:rFonts w:ascii="Arial" w:hAnsi="Arial" w:cs="Arial"/>
                <w:sz w:val="18"/>
                <w:szCs w:val="18"/>
              </w:rPr>
            </w:pPr>
          </w:p>
          <w:p w14:paraId="08ED4EA5" w14:textId="77777777" w:rsidR="00E864F2" w:rsidRPr="00F60909" w:rsidRDefault="00E864F2"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2EEBC9A" w14:textId="79E44740" w:rsidR="00E864F2" w:rsidRPr="00287F87" w:rsidRDefault="00E864F2" w:rsidP="006A378B">
            <w:pPr>
              <w:jc w:val="both"/>
              <w:rPr>
                <w:rFonts w:ascii="Arial" w:hAnsi="Arial" w:cs="Arial"/>
                <w:sz w:val="18"/>
                <w:szCs w:val="18"/>
              </w:rPr>
            </w:pPr>
            <w:r w:rsidRPr="00287F87">
              <w:rPr>
                <w:rFonts w:ascii="Arial" w:hAnsi="Arial" w:cs="Arial"/>
                <w:sz w:val="18"/>
                <w:szCs w:val="18"/>
                <w:highlight w:val="yellow"/>
              </w:rPr>
              <w:t xml:space="preserve">Art. </w:t>
            </w:r>
            <w:r w:rsidR="008B4EB5" w:rsidRPr="00287F87">
              <w:rPr>
                <w:rFonts w:ascii="Arial" w:hAnsi="Arial" w:cs="Arial"/>
                <w:sz w:val="18"/>
                <w:szCs w:val="18"/>
                <w:highlight w:val="yellow"/>
              </w:rPr>
              <w:t>63</w:t>
            </w:r>
            <w:r w:rsidRPr="00287F87">
              <w:rPr>
                <w:rFonts w:ascii="Arial" w:hAnsi="Arial" w:cs="Arial"/>
                <w:sz w:val="18"/>
                <w:szCs w:val="18"/>
                <w:highlight w:val="yellow"/>
              </w:rPr>
              <w:t xml:space="preserve"> BankG;</w:t>
            </w:r>
            <w:r w:rsidR="008B4EB5" w:rsidRPr="00A938AE">
              <w:rPr>
                <w:rFonts w:ascii="Arial" w:hAnsi="Arial" w:cs="Arial"/>
                <w:sz w:val="18"/>
                <w:szCs w:val="18"/>
                <w:highlight w:val="yellow"/>
              </w:rPr>
              <w:t xml:space="preserve"> Art. 67 BankG</w:t>
            </w:r>
            <w:r w:rsidR="004621DB" w:rsidRPr="00A938AE">
              <w:rPr>
                <w:rFonts w:ascii="Arial" w:hAnsi="Arial" w:cs="Arial"/>
                <w:sz w:val="18"/>
                <w:szCs w:val="18"/>
                <w:highlight w:val="yellow"/>
              </w:rPr>
              <w:t xml:space="preserve">, </w:t>
            </w:r>
            <w:r w:rsidR="00501ABA" w:rsidRPr="00287F87">
              <w:rPr>
                <w:rFonts w:ascii="Arial" w:hAnsi="Arial" w:cs="Arial"/>
                <w:sz w:val="18"/>
                <w:szCs w:val="18"/>
                <w:highlight w:val="yellow"/>
              </w:rPr>
              <w:t xml:space="preserve">Art. 10-11 BankV, </w:t>
            </w:r>
            <w:r w:rsidRPr="00287F87">
              <w:rPr>
                <w:rFonts w:ascii="Arial" w:hAnsi="Arial" w:cs="Arial"/>
                <w:sz w:val="18"/>
                <w:szCs w:val="18"/>
                <w:highlight w:val="yellow"/>
              </w:rPr>
              <w:t>EBA/GL/</w:t>
            </w:r>
            <w:r w:rsidR="00C0732A" w:rsidRPr="00287F87">
              <w:rPr>
                <w:rFonts w:ascii="Arial" w:hAnsi="Arial" w:cs="Arial"/>
                <w:sz w:val="18"/>
                <w:szCs w:val="18"/>
                <w:highlight w:val="yellow"/>
              </w:rPr>
              <w:t>2021/05</w:t>
            </w:r>
            <w:r w:rsidRPr="002561FD">
              <w:rPr>
                <w:rFonts w:ascii="Arial" w:hAnsi="Arial" w:cs="Arial"/>
                <w:sz w:val="18"/>
                <w:szCs w:val="18"/>
                <w:highlight w:val="yellow"/>
              </w:rPr>
              <w:t xml:space="preserve">; </w:t>
            </w:r>
            <w:r w:rsidR="00B13D1E" w:rsidRPr="00A938AE">
              <w:rPr>
                <w:rFonts w:ascii="Arial" w:hAnsi="Arial" w:cs="Arial"/>
                <w:sz w:val="18"/>
                <w:szCs w:val="18"/>
                <w:highlight w:val="yellow"/>
              </w:rPr>
              <w:t>EBA/GL/2022/03</w:t>
            </w:r>
          </w:p>
        </w:tc>
      </w:tr>
      <w:tr w:rsidR="00E864F2" w:rsidRPr="00DC249D" w14:paraId="26932264" w14:textId="77777777" w:rsidTr="006A378B">
        <w:trPr>
          <w:trHeight w:val="294"/>
        </w:trPr>
        <w:tc>
          <w:tcPr>
            <w:tcW w:w="9180" w:type="dxa"/>
            <w:gridSpan w:val="4"/>
          </w:tcPr>
          <w:p w14:paraId="2A5F56D6" w14:textId="77777777" w:rsidR="00E864F2" w:rsidRPr="00287F87" w:rsidRDefault="00E864F2" w:rsidP="006A378B">
            <w:pPr>
              <w:jc w:val="both"/>
              <w:rPr>
                <w:rFonts w:ascii="Arial" w:hAnsi="Arial" w:cs="Arial"/>
                <w:sz w:val="18"/>
                <w:szCs w:val="18"/>
              </w:rPr>
            </w:pPr>
          </w:p>
        </w:tc>
      </w:tr>
      <w:tr w:rsidR="00E864F2" w:rsidRPr="009872F3" w14:paraId="14BA601F" w14:textId="77777777" w:rsidTr="006A378B">
        <w:tc>
          <w:tcPr>
            <w:tcW w:w="5798" w:type="dxa"/>
            <w:gridSpan w:val="3"/>
          </w:tcPr>
          <w:p w14:paraId="759B1737" w14:textId="77777777" w:rsidR="00E864F2" w:rsidRPr="009872F3" w:rsidRDefault="00E864F2" w:rsidP="00E864F2">
            <w:pPr>
              <w:jc w:val="both"/>
              <w:rPr>
                <w:rFonts w:ascii="Arial" w:hAnsi="Arial" w:cs="Arial"/>
                <w:sz w:val="18"/>
                <w:szCs w:val="18"/>
              </w:rPr>
            </w:pPr>
            <w:r>
              <w:rPr>
                <w:rFonts w:ascii="Arial" w:hAnsi="Arial" w:cs="Arial"/>
                <w:sz w:val="18"/>
                <w:szCs w:val="18"/>
              </w:rPr>
              <w:t xml:space="preserve">Bestätigung, dass die </w:t>
            </w:r>
            <w:r w:rsidR="0052155F">
              <w:rPr>
                <w:rFonts w:ascii="Arial" w:hAnsi="Arial" w:cs="Arial"/>
                <w:sz w:val="18"/>
                <w:szCs w:val="18"/>
              </w:rPr>
              <w:t>die Verantwortlichkeiten und Kompetenzen der Geschäftsleitung angemessen ausgestaltet sind</w:t>
            </w:r>
          </w:p>
        </w:tc>
        <w:tc>
          <w:tcPr>
            <w:tcW w:w="3382" w:type="dxa"/>
          </w:tcPr>
          <w:p w14:paraId="59D67E5B" w14:textId="77777777" w:rsidR="00E864F2" w:rsidRPr="00E109DF" w:rsidRDefault="00E864F2"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33E8692C" w14:textId="77777777" w:rsidTr="006A378B">
        <w:tc>
          <w:tcPr>
            <w:tcW w:w="5798" w:type="dxa"/>
            <w:gridSpan w:val="3"/>
          </w:tcPr>
          <w:p w14:paraId="4D0650CA" w14:textId="58F7EA32" w:rsidR="00E864F2" w:rsidRPr="009872F3" w:rsidRDefault="0052155F" w:rsidP="006A378B">
            <w:pPr>
              <w:jc w:val="both"/>
              <w:rPr>
                <w:rFonts w:ascii="Arial" w:hAnsi="Arial" w:cs="Arial"/>
                <w:sz w:val="18"/>
                <w:szCs w:val="18"/>
              </w:rPr>
            </w:pPr>
            <w:r>
              <w:rPr>
                <w:rFonts w:ascii="Arial" w:hAnsi="Arial" w:cs="Arial"/>
                <w:sz w:val="18"/>
                <w:szCs w:val="18"/>
              </w:rPr>
              <w:t>Bestätigung, dass die Mitglieder der Geschäftsleitung sowohl individuell als auch kollektiv geeignet sind</w:t>
            </w:r>
            <w:r w:rsidR="00C1307E">
              <w:rPr>
                <w:rFonts w:ascii="Arial" w:hAnsi="Arial" w:cs="Arial"/>
                <w:sz w:val="18"/>
                <w:szCs w:val="18"/>
              </w:rPr>
              <w:t xml:space="preserve"> und ihre Eignung regelmässig </w:t>
            </w:r>
            <w:r w:rsidR="006A378B">
              <w:rPr>
                <w:rFonts w:ascii="Arial" w:hAnsi="Arial" w:cs="Arial"/>
                <w:sz w:val="18"/>
                <w:szCs w:val="18"/>
              </w:rPr>
              <w:t xml:space="preserve">intern </w:t>
            </w:r>
            <w:r w:rsidR="00C1307E">
              <w:rPr>
                <w:rFonts w:ascii="Arial" w:hAnsi="Arial" w:cs="Arial"/>
                <w:sz w:val="18"/>
                <w:szCs w:val="18"/>
              </w:rPr>
              <w:t>überprüft wird</w:t>
            </w:r>
          </w:p>
        </w:tc>
        <w:tc>
          <w:tcPr>
            <w:tcW w:w="3382" w:type="dxa"/>
          </w:tcPr>
          <w:p w14:paraId="065632D2"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864F2" w:rsidRPr="009872F3" w14:paraId="13792CF3" w14:textId="77777777" w:rsidTr="006A378B">
        <w:tc>
          <w:tcPr>
            <w:tcW w:w="5798" w:type="dxa"/>
            <w:gridSpan w:val="3"/>
          </w:tcPr>
          <w:p w14:paraId="76179060" w14:textId="458E66B9" w:rsidR="00E864F2" w:rsidRDefault="00C1307E" w:rsidP="00C1307E">
            <w:pPr>
              <w:jc w:val="both"/>
              <w:rPr>
                <w:rFonts w:ascii="Arial" w:hAnsi="Arial" w:cs="Arial"/>
                <w:sz w:val="18"/>
                <w:szCs w:val="18"/>
              </w:rPr>
            </w:pPr>
            <w:r>
              <w:rPr>
                <w:rFonts w:ascii="Arial" w:hAnsi="Arial" w:cs="Arial"/>
                <w:sz w:val="18"/>
                <w:szCs w:val="18"/>
              </w:rPr>
              <w:t>Bestätigung, dass die Mitglieder der Geschäftsleitung die Struktur de</w:t>
            </w:r>
            <w:r w:rsidR="0067062C">
              <w:rPr>
                <w:rFonts w:ascii="Arial" w:hAnsi="Arial" w:cs="Arial"/>
                <w:sz w:val="18"/>
                <w:szCs w:val="18"/>
              </w:rPr>
              <w:t xml:space="preserve">r </w:t>
            </w:r>
            <w:r w:rsidR="0067062C" w:rsidRPr="00B80B23">
              <w:rPr>
                <w:rFonts w:ascii="Arial" w:hAnsi="Arial" w:cs="Arial"/>
                <w:sz w:val="18"/>
                <w:szCs w:val="18"/>
                <w:highlight w:val="yellow"/>
              </w:rPr>
              <w:t>Bank / Gruppe</w:t>
            </w:r>
            <w:r>
              <w:rPr>
                <w:rFonts w:ascii="Arial" w:hAnsi="Arial" w:cs="Arial"/>
                <w:sz w:val="18"/>
                <w:szCs w:val="18"/>
              </w:rPr>
              <w:t xml:space="preserve"> sowie deren Geschäftsfelder und Risiken kennen</w:t>
            </w:r>
          </w:p>
        </w:tc>
        <w:tc>
          <w:tcPr>
            <w:tcW w:w="3382" w:type="dxa"/>
          </w:tcPr>
          <w:p w14:paraId="010AB973" w14:textId="77777777" w:rsidR="00E864F2" w:rsidRPr="009872F3" w:rsidRDefault="00E864F2"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C1307E" w:rsidRPr="009872F3" w14:paraId="49BE4C8A" w14:textId="77777777" w:rsidTr="006A378B">
        <w:tc>
          <w:tcPr>
            <w:tcW w:w="5798" w:type="dxa"/>
            <w:gridSpan w:val="3"/>
          </w:tcPr>
          <w:p w14:paraId="2ABE1449" w14:textId="77777777" w:rsidR="00C1307E" w:rsidRDefault="00C1307E" w:rsidP="006A378B">
            <w:pPr>
              <w:jc w:val="both"/>
              <w:rPr>
                <w:rFonts w:ascii="Arial" w:hAnsi="Arial" w:cs="Arial"/>
                <w:sz w:val="18"/>
                <w:szCs w:val="18"/>
              </w:rPr>
            </w:pPr>
            <w:r>
              <w:rPr>
                <w:rFonts w:ascii="Arial" w:hAnsi="Arial" w:cs="Arial"/>
                <w:sz w:val="18"/>
                <w:szCs w:val="18"/>
              </w:rPr>
              <w:t xml:space="preserve">Bestätigung, dass die Mitglieder </w:t>
            </w:r>
            <w:r w:rsidR="006A378B">
              <w:rPr>
                <w:rFonts w:ascii="Arial" w:hAnsi="Arial" w:cs="Arial"/>
                <w:sz w:val="18"/>
                <w:szCs w:val="18"/>
              </w:rPr>
              <w:t>der Geschäftsleitung sich fortlaufend fachlich adäquat weiterbilden</w:t>
            </w:r>
          </w:p>
        </w:tc>
        <w:tc>
          <w:tcPr>
            <w:tcW w:w="3382" w:type="dxa"/>
          </w:tcPr>
          <w:p w14:paraId="591D07BA" w14:textId="77777777" w:rsidR="00C1307E" w:rsidRPr="00E109DF" w:rsidRDefault="00C1307E"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95586DC" w14:textId="77777777" w:rsidR="00E864F2" w:rsidRDefault="00E864F2" w:rsidP="00E864F2">
      <w:pPr>
        <w:jc w:val="both"/>
      </w:pPr>
    </w:p>
    <w:tbl>
      <w:tblPr>
        <w:tblStyle w:val="Tabellenraster"/>
        <w:tblW w:w="0" w:type="auto"/>
        <w:tblLook w:val="04A0" w:firstRow="1" w:lastRow="0" w:firstColumn="1" w:lastColumn="0" w:noHBand="0" w:noVBand="1"/>
      </w:tblPr>
      <w:tblGrid>
        <w:gridCol w:w="2660"/>
        <w:gridCol w:w="6520"/>
      </w:tblGrid>
      <w:tr w:rsidR="00E864F2" w:rsidRPr="00CE3194" w14:paraId="75C29B18" w14:textId="77777777" w:rsidTr="006A378B">
        <w:tc>
          <w:tcPr>
            <w:tcW w:w="2660" w:type="dxa"/>
          </w:tcPr>
          <w:p w14:paraId="312355E1" w14:textId="77777777" w:rsidR="00E864F2" w:rsidRPr="00CE3194" w:rsidRDefault="00E864F2"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33A255CE" w14:textId="77777777" w:rsidR="00E864F2" w:rsidRPr="00CE3194" w:rsidRDefault="003B5EE4"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E864F2" w:rsidRPr="00CE3194">
              <w:rPr>
                <w:rFonts w:ascii="Arial" w:hAnsi="Arial" w:cs="Arial"/>
                <w:b/>
                <w:i/>
                <w:sz w:val="20"/>
                <w:szCs w:val="20"/>
                <w:highlight w:val="lightGray"/>
              </w:rPr>
              <w:t>rüfinhalte</w:t>
            </w:r>
          </w:p>
        </w:tc>
      </w:tr>
      <w:tr w:rsidR="00E864F2" w:rsidRPr="00CE3194" w14:paraId="0EF0F02F" w14:textId="77777777" w:rsidTr="006A378B">
        <w:tc>
          <w:tcPr>
            <w:tcW w:w="2660" w:type="dxa"/>
          </w:tcPr>
          <w:p w14:paraId="45C4F110" w14:textId="77777777"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2F60CAB4" w14:textId="77777777" w:rsidR="00E864F2" w:rsidRDefault="00E864F2" w:rsidP="00E864F2">
            <w:pPr>
              <w:pStyle w:val="Listenabsatz"/>
              <w:ind w:left="34"/>
              <w:jc w:val="both"/>
              <w:rPr>
                <w:rFonts w:cs="Arial"/>
                <w:i/>
                <w:szCs w:val="20"/>
                <w:highlight w:val="lightGray"/>
              </w:rPr>
            </w:pPr>
            <w:r>
              <w:rPr>
                <w:rFonts w:cs="Arial"/>
                <w:i/>
                <w:szCs w:val="20"/>
                <w:highlight w:val="lightGray"/>
              </w:rPr>
              <w:t>Es besteht eine klare und effektive Aufteilung von Verantwortlichkeiten und Kompetenzen, insbesondere hinsichtlich</w:t>
            </w:r>
          </w:p>
          <w:p w14:paraId="2F4D37B4" w14:textId="77777777" w:rsidR="00E864F2" w:rsidRDefault="00E864F2" w:rsidP="00E864F2">
            <w:pPr>
              <w:pStyle w:val="Listenabsatz"/>
              <w:ind w:left="34"/>
              <w:jc w:val="both"/>
              <w:rPr>
                <w:rFonts w:cs="Arial"/>
                <w:i/>
                <w:szCs w:val="20"/>
                <w:highlight w:val="lightGray"/>
              </w:rPr>
            </w:pPr>
            <w:r>
              <w:rPr>
                <w:rFonts w:cs="Arial"/>
                <w:i/>
                <w:szCs w:val="20"/>
                <w:highlight w:val="lightGray"/>
              </w:rPr>
              <w:lastRenderedPageBreak/>
              <w:t>a) Führung des Tagesgeschäfts</w:t>
            </w:r>
          </w:p>
          <w:p w14:paraId="405EC5D7" w14:textId="77777777" w:rsidR="00E864F2" w:rsidRDefault="00E864F2" w:rsidP="00E864F2">
            <w:pPr>
              <w:pStyle w:val="Listenabsatz"/>
              <w:ind w:left="34"/>
              <w:jc w:val="both"/>
              <w:rPr>
                <w:rFonts w:cs="Arial"/>
                <w:i/>
                <w:szCs w:val="20"/>
                <w:highlight w:val="lightGray"/>
              </w:rPr>
            </w:pPr>
            <w:r>
              <w:rPr>
                <w:rFonts w:cs="Arial"/>
                <w:i/>
                <w:szCs w:val="20"/>
                <w:highlight w:val="lightGray"/>
              </w:rPr>
              <w:t>b) Operative Ertrags- und Risikosteuerung</w:t>
            </w:r>
          </w:p>
          <w:p w14:paraId="0ED88D98" w14:textId="77777777" w:rsidR="00E864F2" w:rsidRDefault="00E864F2" w:rsidP="00E864F2">
            <w:pPr>
              <w:pStyle w:val="Listenabsatz"/>
              <w:ind w:left="34"/>
              <w:jc w:val="both"/>
              <w:rPr>
                <w:rFonts w:cs="Arial"/>
                <w:i/>
                <w:szCs w:val="20"/>
                <w:highlight w:val="lightGray"/>
              </w:rPr>
            </w:pPr>
            <w:r>
              <w:rPr>
                <w:rFonts w:cs="Arial"/>
                <w:i/>
                <w:szCs w:val="20"/>
                <w:highlight w:val="lightGray"/>
              </w:rPr>
              <w:t>c) Bilanzstruktur- und Liquidationsmanagement</w:t>
            </w:r>
          </w:p>
          <w:p w14:paraId="24BCB472" w14:textId="77777777" w:rsidR="00E864F2" w:rsidRDefault="00E864F2" w:rsidP="00E864F2">
            <w:pPr>
              <w:pStyle w:val="Listenabsatz"/>
              <w:ind w:left="34"/>
              <w:jc w:val="both"/>
              <w:rPr>
                <w:rFonts w:cs="Arial"/>
                <w:i/>
                <w:szCs w:val="20"/>
                <w:highlight w:val="lightGray"/>
              </w:rPr>
            </w:pPr>
            <w:r>
              <w:rPr>
                <w:rFonts w:cs="Arial"/>
                <w:i/>
                <w:szCs w:val="20"/>
                <w:highlight w:val="lightGray"/>
              </w:rPr>
              <w:t>d) Antragstellung von Geschäften an den Verwaltungsrat</w:t>
            </w:r>
          </w:p>
          <w:p w14:paraId="7663440A" w14:textId="77777777" w:rsidR="00E864F2" w:rsidRDefault="00E864F2" w:rsidP="00E864F2">
            <w:pPr>
              <w:pStyle w:val="Listenabsatz"/>
              <w:ind w:left="34"/>
              <w:jc w:val="both"/>
              <w:rPr>
                <w:rFonts w:cs="Arial"/>
                <w:i/>
                <w:szCs w:val="20"/>
                <w:highlight w:val="lightGray"/>
              </w:rPr>
            </w:pPr>
            <w:r>
              <w:rPr>
                <w:rFonts w:cs="Arial"/>
                <w:i/>
                <w:szCs w:val="20"/>
                <w:highlight w:val="lightGray"/>
              </w:rPr>
              <w:t>e) Erlass von Vorschriften zur Regelung des operativen Geschäftsbetriebs</w:t>
            </w:r>
          </w:p>
          <w:p w14:paraId="59363089" w14:textId="77777777" w:rsidR="00E864F2" w:rsidRPr="00CE3194" w:rsidRDefault="00E864F2" w:rsidP="00E864F2">
            <w:pPr>
              <w:pStyle w:val="Listenabsatz"/>
              <w:ind w:left="34"/>
              <w:jc w:val="both"/>
              <w:rPr>
                <w:rFonts w:cs="Arial"/>
                <w:i/>
                <w:szCs w:val="20"/>
                <w:highlight w:val="lightGray"/>
              </w:rPr>
            </w:pPr>
            <w:r>
              <w:rPr>
                <w:rFonts w:cs="Arial"/>
                <w:i/>
                <w:szCs w:val="20"/>
                <w:highlight w:val="lightGray"/>
              </w:rPr>
              <w:t>f) Ausgestaltung und Unterhalt interner Prozesse, Managementinformationssystem, IKS, ICAAP / ILAAP und Technologieinfrastruktur</w:t>
            </w:r>
          </w:p>
        </w:tc>
      </w:tr>
      <w:tr w:rsidR="00E864F2" w:rsidRPr="00CE3194" w14:paraId="1BA48C0E" w14:textId="77777777" w:rsidTr="006A378B">
        <w:tc>
          <w:tcPr>
            <w:tcW w:w="2660" w:type="dxa"/>
          </w:tcPr>
          <w:p w14:paraId="4C3AEA94" w14:textId="731F9989" w:rsidR="00E864F2" w:rsidRPr="00CE3194" w:rsidRDefault="00E864F2" w:rsidP="006A378B">
            <w:pPr>
              <w:jc w:val="both"/>
              <w:rPr>
                <w:rFonts w:ascii="Arial" w:hAnsi="Arial" w:cs="Arial"/>
                <w:i/>
                <w:sz w:val="20"/>
                <w:szCs w:val="20"/>
                <w:highlight w:val="lightGray"/>
              </w:rPr>
            </w:pPr>
            <w:r>
              <w:rPr>
                <w:rFonts w:ascii="Arial" w:hAnsi="Arial" w:cs="Arial"/>
                <w:i/>
                <w:sz w:val="20"/>
                <w:szCs w:val="20"/>
                <w:highlight w:val="lightGray"/>
              </w:rPr>
              <w:lastRenderedPageBreak/>
              <w:t>Eignung</w:t>
            </w:r>
            <w:r w:rsidR="00C468E0">
              <w:rPr>
                <w:rFonts w:ascii="Arial" w:hAnsi="Arial" w:cs="Arial"/>
                <w:i/>
                <w:sz w:val="20"/>
                <w:szCs w:val="20"/>
                <w:highlight w:val="lightGray"/>
              </w:rPr>
              <w:t xml:space="preserve"> (inkl. Fachliche Eignung / Weiterbildung)</w:t>
            </w:r>
          </w:p>
        </w:tc>
        <w:tc>
          <w:tcPr>
            <w:tcW w:w="6520" w:type="dxa"/>
          </w:tcPr>
          <w:p w14:paraId="0B460FC1"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sind sowohl individuell als auch kollektiv geeignet</w:t>
            </w:r>
          </w:p>
          <w:p w14:paraId="19D70661" w14:textId="0A18A0D2" w:rsid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Es besteht ein internes Verfahren zur regelmässigen Überprüfung der individuellen und kol</w:t>
            </w:r>
            <w:r w:rsidR="00E70DF4">
              <w:rPr>
                <w:rFonts w:cs="Arial"/>
                <w:i/>
                <w:szCs w:val="20"/>
                <w:highlight w:val="lightGray"/>
              </w:rPr>
              <w:t>l</w:t>
            </w:r>
            <w:r w:rsidRPr="00E864F2">
              <w:rPr>
                <w:rFonts w:cs="Arial"/>
                <w:i/>
                <w:szCs w:val="20"/>
                <w:highlight w:val="lightGray"/>
              </w:rPr>
              <w:t>ektiven Eignung</w:t>
            </w:r>
          </w:p>
          <w:p w14:paraId="6DDE5E7F" w14:textId="0D52176E" w:rsidR="004621DB" w:rsidRPr="004621DB" w:rsidRDefault="004621DB" w:rsidP="004621DB">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welche sicherstellen, dass bei der Auswahl von Mitgliedern des Verwaltungsrats auf eine grosse Bandbreite von Eigenschaften und Fähigkeiten sowie Diversität geachtet wird. </w:t>
            </w:r>
          </w:p>
          <w:p w14:paraId="691C719B" w14:textId="0307A672"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die Struktur, in denen sich d</w:t>
            </w:r>
            <w:r w:rsidR="0067062C">
              <w:rPr>
                <w:rFonts w:cs="Arial"/>
                <w:i/>
                <w:szCs w:val="20"/>
                <w:highlight w:val="lightGray"/>
              </w:rPr>
              <w:t xml:space="preserve">ie Bank / Gruppe </w:t>
            </w:r>
            <w:r w:rsidRPr="00E864F2">
              <w:rPr>
                <w:rFonts w:cs="Arial"/>
                <w:i/>
                <w:szCs w:val="20"/>
                <w:highlight w:val="lightGray"/>
              </w:rPr>
              <w:t>bewegt ("Know-Your-Structure")</w:t>
            </w:r>
          </w:p>
          <w:p w14:paraId="033F3442" w14:textId="578911B8"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kennen sämtliche Geschäftsfelder und Risiken de</w:t>
            </w:r>
            <w:r w:rsidR="00E70DF4">
              <w:rPr>
                <w:rFonts w:cs="Arial"/>
                <w:i/>
                <w:szCs w:val="20"/>
                <w:highlight w:val="lightGray"/>
              </w:rPr>
              <w:t>r Bank / Gruppe</w:t>
            </w:r>
            <w:r w:rsidRPr="00E864F2">
              <w:rPr>
                <w:rFonts w:cs="Arial"/>
                <w:i/>
                <w:szCs w:val="20"/>
                <w:highlight w:val="lightGray"/>
              </w:rPr>
              <w:t xml:space="preserve"> ("Know Your Business and Risks")</w:t>
            </w:r>
          </w:p>
          <w:p w14:paraId="2AC47F80" w14:textId="77777777" w:rsidR="00E864F2" w:rsidRPr="00E864F2" w:rsidRDefault="00E864F2" w:rsidP="00E864F2">
            <w:pPr>
              <w:pStyle w:val="Listenabsatz"/>
              <w:numPr>
                <w:ilvl w:val="1"/>
                <w:numId w:val="17"/>
              </w:numPr>
              <w:ind w:left="317" w:hanging="283"/>
              <w:jc w:val="both"/>
              <w:rPr>
                <w:rFonts w:cs="Arial"/>
                <w:i/>
                <w:szCs w:val="20"/>
                <w:highlight w:val="lightGray"/>
              </w:rPr>
            </w:pPr>
            <w:r w:rsidRPr="00E864F2">
              <w:rPr>
                <w:rFonts w:cs="Arial"/>
                <w:i/>
                <w:szCs w:val="20"/>
                <w:highlight w:val="lightGray"/>
              </w:rPr>
              <w:t>Die Mitglieder des Gremiums werden regelmässig fachlich einschlägig weitergebildet</w:t>
            </w:r>
          </w:p>
          <w:p w14:paraId="1E7E6C4D" w14:textId="4079A36D" w:rsidR="00E864F2" w:rsidRDefault="00E864F2" w:rsidP="0074539F">
            <w:pPr>
              <w:pStyle w:val="Listenabsatz"/>
              <w:numPr>
                <w:ilvl w:val="1"/>
                <w:numId w:val="17"/>
              </w:numPr>
              <w:ind w:left="317" w:hanging="283"/>
              <w:jc w:val="both"/>
              <w:rPr>
                <w:rFonts w:cs="Arial"/>
                <w:i/>
                <w:szCs w:val="20"/>
                <w:highlight w:val="lightGray"/>
              </w:rPr>
            </w:pPr>
            <w:r w:rsidRPr="00E864F2">
              <w:rPr>
                <w:rFonts w:cs="Arial"/>
                <w:i/>
                <w:szCs w:val="20"/>
                <w:highlight w:val="lightGray"/>
              </w:rPr>
              <w:t xml:space="preserve">Die Mitglieder des Gremiums sind zuverlässig, kümmern sich ausnahmslos um das gesetzeskonforme </w:t>
            </w:r>
            <w:r w:rsidR="008F0E6F" w:rsidRPr="00E864F2">
              <w:rPr>
                <w:rFonts w:cs="Arial"/>
                <w:i/>
                <w:szCs w:val="20"/>
                <w:highlight w:val="lightGray"/>
              </w:rPr>
              <w:t>Gebaren</w:t>
            </w:r>
            <w:r w:rsidRPr="00E864F2">
              <w:rPr>
                <w:rFonts w:cs="Arial"/>
                <w:i/>
                <w:szCs w:val="20"/>
                <w:highlight w:val="lightGray"/>
              </w:rPr>
              <w:t xml:space="preserve"> de</w:t>
            </w:r>
            <w:r w:rsidR="0074539F">
              <w:rPr>
                <w:rFonts w:cs="Arial"/>
                <w:i/>
                <w:szCs w:val="20"/>
                <w:highlight w:val="lightGray"/>
              </w:rPr>
              <w:t>r Bank bzw. der Gruppe</w:t>
            </w:r>
            <w:r w:rsidRPr="00E864F2">
              <w:rPr>
                <w:rFonts w:cs="Arial"/>
                <w:i/>
                <w:szCs w:val="20"/>
                <w:highlight w:val="lightGray"/>
              </w:rPr>
              <w:t xml:space="preserve"> und haben einen guten Ruf.</w:t>
            </w:r>
          </w:p>
          <w:p w14:paraId="4F5C1BD5" w14:textId="47975C60" w:rsidR="004621DB" w:rsidRPr="00CE3194" w:rsidRDefault="004621DB" w:rsidP="0074539F">
            <w:pPr>
              <w:pStyle w:val="Listenabsatz"/>
              <w:numPr>
                <w:ilvl w:val="1"/>
                <w:numId w:val="17"/>
              </w:numPr>
              <w:ind w:left="317" w:hanging="283"/>
              <w:jc w:val="both"/>
              <w:rPr>
                <w:rFonts w:cs="Arial"/>
                <w:i/>
                <w:szCs w:val="20"/>
                <w:highlight w:val="lightGray"/>
              </w:rPr>
            </w:pPr>
            <w:r>
              <w:rPr>
                <w:rFonts w:cs="Arial"/>
                <w:i/>
                <w:szCs w:val="20"/>
                <w:highlight w:val="lightGray"/>
              </w:rPr>
              <w:t xml:space="preserve">Die Mitglieder des Gremiums verfügen über ausreichend Ressourcen </w:t>
            </w:r>
            <w:r w:rsidR="0048641E">
              <w:rPr>
                <w:rFonts w:cs="Arial"/>
                <w:i/>
                <w:szCs w:val="20"/>
                <w:highlight w:val="lightGray"/>
              </w:rPr>
              <w:t xml:space="preserve">(u.a. zeitliche Verfügbarkeit) </w:t>
            </w:r>
            <w:r>
              <w:rPr>
                <w:rFonts w:cs="Arial"/>
                <w:i/>
                <w:szCs w:val="20"/>
                <w:highlight w:val="lightGray"/>
              </w:rPr>
              <w:t>und halten die Mandatsbeschränkung ein.</w:t>
            </w:r>
          </w:p>
        </w:tc>
      </w:tr>
    </w:tbl>
    <w:p w14:paraId="129DA81D" w14:textId="77777777" w:rsidR="00E864F2" w:rsidRDefault="00E864F2" w:rsidP="00E864F2">
      <w:pPr>
        <w:jc w:val="both"/>
      </w:pPr>
    </w:p>
    <w:p w14:paraId="45472EC3" w14:textId="77777777" w:rsidR="00E70DF4" w:rsidRPr="00276C60" w:rsidRDefault="00E70DF4" w:rsidP="00E70DF4">
      <w:pPr>
        <w:jc w:val="both"/>
        <w:rPr>
          <w:rFonts w:ascii="Arial" w:hAnsi="Arial" w:cs="Arial"/>
          <w:i/>
          <w:sz w:val="20"/>
          <w:szCs w:val="20"/>
        </w:rPr>
      </w:pPr>
      <w:r w:rsidRPr="00276C60">
        <w:rPr>
          <w:rFonts w:ascii="Arial" w:hAnsi="Arial" w:cs="Arial"/>
          <w:i/>
          <w:sz w:val="20"/>
          <w:szCs w:val="20"/>
          <w:highlight w:val="yellow"/>
        </w:rPr>
        <w:t>Text</w:t>
      </w:r>
    </w:p>
    <w:p w14:paraId="56D9BA97" w14:textId="77777777" w:rsidR="00E70DF4" w:rsidRDefault="00E70DF4" w:rsidP="00E864F2">
      <w:pPr>
        <w:jc w:val="both"/>
      </w:pPr>
    </w:p>
    <w:p w14:paraId="79D82531" w14:textId="77777777" w:rsidR="00E864F2" w:rsidRDefault="00E864F2" w:rsidP="00E864F2">
      <w:pPr>
        <w:jc w:val="both"/>
      </w:pPr>
    </w:p>
    <w:p w14:paraId="7417D00B" w14:textId="77777777" w:rsidR="00E864F2" w:rsidRDefault="008C30D1" w:rsidP="006F7AB5">
      <w:pPr>
        <w:pStyle w:val="FINMAGliederungEbene3"/>
      </w:pPr>
      <w:bookmarkStart w:id="57" w:name="_Toc216425806"/>
      <w:r>
        <w:t>Verwaltungsrat</w:t>
      </w:r>
      <w:r w:rsidR="00543DCA">
        <w:t xml:space="preserve"> (GOV-2)</w:t>
      </w:r>
      <w:bookmarkEnd w:id="57"/>
    </w:p>
    <w:p w14:paraId="509530F4" w14:textId="77777777" w:rsidR="00E864F2" w:rsidRDefault="00E864F2" w:rsidP="00E864F2">
      <w:pPr>
        <w:jc w:val="both"/>
      </w:pPr>
    </w:p>
    <w:tbl>
      <w:tblPr>
        <w:tblStyle w:val="Tabellenraster"/>
        <w:tblW w:w="0" w:type="auto"/>
        <w:tblLook w:val="04A0" w:firstRow="1" w:lastRow="0" w:firstColumn="1" w:lastColumn="0" w:noHBand="0" w:noVBand="1"/>
      </w:tblPr>
      <w:tblGrid>
        <w:gridCol w:w="1932"/>
        <w:gridCol w:w="2145"/>
        <w:gridCol w:w="1721"/>
        <w:gridCol w:w="3382"/>
      </w:tblGrid>
      <w:tr w:rsidR="006A378B" w:rsidRPr="009872F3" w14:paraId="4E257FB5" w14:textId="77777777" w:rsidTr="006A378B">
        <w:trPr>
          <w:trHeight w:val="563"/>
        </w:trPr>
        <w:tc>
          <w:tcPr>
            <w:tcW w:w="1932" w:type="dxa"/>
          </w:tcPr>
          <w:p w14:paraId="0683DD55"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Nettorisiko</w:t>
            </w:r>
          </w:p>
        </w:tc>
        <w:tc>
          <w:tcPr>
            <w:tcW w:w="2145" w:type="dxa"/>
          </w:tcPr>
          <w:p w14:paraId="0BCEAD72"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12E09E4C"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A378B" w:rsidRPr="009872F3" w14:paraId="1B6264CD" w14:textId="77777777" w:rsidTr="006A378B">
        <w:trPr>
          <w:trHeight w:val="698"/>
        </w:trPr>
        <w:tc>
          <w:tcPr>
            <w:tcW w:w="1932" w:type="dxa"/>
          </w:tcPr>
          <w:p w14:paraId="0FA12224" w14:textId="53BC35AA"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3A77B52" w14:textId="77777777" w:rsidR="006A378B" w:rsidRPr="006749F0" w:rsidRDefault="006A378B" w:rsidP="006A378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3B32D421" w14:textId="77777777" w:rsidR="006A378B" w:rsidRPr="009872F3" w:rsidRDefault="006A378B" w:rsidP="006A378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800B993" w14:textId="77777777" w:rsidR="006A378B" w:rsidRDefault="006A378B" w:rsidP="006A378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EDC1019" w14:textId="77777777" w:rsidR="006A378B" w:rsidRPr="006749F0" w:rsidRDefault="006A378B" w:rsidP="006A378B">
            <w:pPr>
              <w:jc w:val="both"/>
              <w:rPr>
                <w:rFonts w:ascii="Arial" w:hAnsi="Arial" w:cs="Arial"/>
                <w:i/>
                <w:sz w:val="18"/>
                <w:szCs w:val="18"/>
              </w:rPr>
            </w:pPr>
            <w:r w:rsidRPr="006749F0">
              <w:rPr>
                <w:rFonts w:ascii="Arial" w:hAnsi="Arial" w:cs="Arial"/>
                <w:i/>
                <w:sz w:val="18"/>
                <w:szCs w:val="18"/>
                <w:highlight w:val="yellow"/>
              </w:rPr>
              <w:t>Jahr</w:t>
            </w:r>
          </w:p>
        </w:tc>
      </w:tr>
      <w:tr w:rsidR="006A378B" w:rsidRPr="00702D1A" w14:paraId="5AD4A613" w14:textId="77777777" w:rsidTr="006A378B">
        <w:trPr>
          <w:trHeight w:val="636"/>
        </w:trPr>
        <w:tc>
          <w:tcPr>
            <w:tcW w:w="9180" w:type="dxa"/>
            <w:gridSpan w:val="4"/>
          </w:tcPr>
          <w:p w14:paraId="28C1DE85" w14:textId="77777777" w:rsidR="006A378B" w:rsidRDefault="006A378B" w:rsidP="006A378B">
            <w:pPr>
              <w:jc w:val="both"/>
              <w:rPr>
                <w:rFonts w:ascii="Arial" w:hAnsi="Arial" w:cs="Arial"/>
                <w:sz w:val="18"/>
                <w:szCs w:val="18"/>
              </w:rPr>
            </w:pPr>
          </w:p>
          <w:p w14:paraId="30826A2F" w14:textId="77777777" w:rsidR="006A378B" w:rsidRPr="00F60909" w:rsidRDefault="006A378B" w:rsidP="006A378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6306D0F" w14:textId="7801BBC9" w:rsidR="006A378B" w:rsidRPr="00287F87" w:rsidRDefault="006A378B" w:rsidP="006A378B">
            <w:pPr>
              <w:jc w:val="both"/>
              <w:rPr>
                <w:rFonts w:ascii="Arial" w:hAnsi="Arial" w:cs="Arial"/>
                <w:sz w:val="18"/>
                <w:szCs w:val="18"/>
              </w:rPr>
            </w:pPr>
            <w:r w:rsidRPr="00287F87">
              <w:rPr>
                <w:rFonts w:ascii="Arial" w:hAnsi="Arial" w:cs="Arial"/>
                <w:sz w:val="18"/>
                <w:szCs w:val="18"/>
                <w:highlight w:val="yellow"/>
              </w:rPr>
              <w:t xml:space="preserve">Art. </w:t>
            </w:r>
            <w:r w:rsidR="008B4EB5" w:rsidRPr="00287F87">
              <w:rPr>
                <w:rFonts w:ascii="Arial" w:hAnsi="Arial" w:cs="Arial"/>
                <w:sz w:val="18"/>
                <w:szCs w:val="18"/>
                <w:highlight w:val="yellow"/>
              </w:rPr>
              <w:t>63</w:t>
            </w:r>
            <w:r w:rsidRPr="002561FD">
              <w:rPr>
                <w:rFonts w:ascii="Arial" w:hAnsi="Arial" w:cs="Arial"/>
                <w:sz w:val="18"/>
                <w:szCs w:val="18"/>
                <w:highlight w:val="yellow"/>
              </w:rPr>
              <w:t xml:space="preserve"> BankG; </w:t>
            </w:r>
            <w:r w:rsidR="00702D1A" w:rsidRPr="00287F87">
              <w:rPr>
                <w:rFonts w:ascii="Arial" w:hAnsi="Arial" w:cs="Arial"/>
                <w:sz w:val="18"/>
                <w:szCs w:val="18"/>
                <w:highlight w:val="yellow"/>
              </w:rPr>
              <w:t xml:space="preserve">Art. </w:t>
            </w:r>
            <w:r w:rsidR="00702D1A" w:rsidRPr="00A938AE">
              <w:rPr>
                <w:rFonts w:ascii="Arial" w:hAnsi="Arial" w:cs="Arial"/>
                <w:sz w:val="18"/>
                <w:szCs w:val="18"/>
                <w:highlight w:val="yellow"/>
              </w:rPr>
              <w:t xml:space="preserve">65 BankG, </w:t>
            </w:r>
            <w:r w:rsidR="008B4EB5" w:rsidRPr="00287F87">
              <w:rPr>
                <w:rFonts w:ascii="Arial" w:hAnsi="Arial" w:cs="Arial"/>
                <w:sz w:val="18"/>
                <w:szCs w:val="18"/>
                <w:highlight w:val="yellow"/>
              </w:rPr>
              <w:t>Art. 66 BankG,</w:t>
            </w:r>
            <w:r w:rsidR="00501ABA" w:rsidRPr="00A938AE">
              <w:rPr>
                <w:rFonts w:ascii="Arial" w:hAnsi="Arial" w:cs="Arial"/>
                <w:sz w:val="18"/>
                <w:szCs w:val="18"/>
                <w:highlight w:val="yellow"/>
              </w:rPr>
              <w:t xml:space="preserve"> </w:t>
            </w:r>
            <w:r w:rsidR="00501ABA" w:rsidRPr="00287F87">
              <w:rPr>
                <w:rFonts w:ascii="Arial" w:hAnsi="Arial" w:cs="Arial"/>
                <w:sz w:val="18"/>
                <w:szCs w:val="18"/>
                <w:highlight w:val="yellow"/>
              </w:rPr>
              <w:t xml:space="preserve">Art. 10-11 BankV, </w:t>
            </w:r>
            <w:r w:rsidR="00E667CF" w:rsidRPr="002561FD">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p>
        </w:tc>
      </w:tr>
      <w:tr w:rsidR="006A378B" w:rsidRPr="00702D1A" w14:paraId="6ED5BECB" w14:textId="77777777" w:rsidTr="006A378B">
        <w:trPr>
          <w:trHeight w:val="294"/>
        </w:trPr>
        <w:tc>
          <w:tcPr>
            <w:tcW w:w="9180" w:type="dxa"/>
            <w:gridSpan w:val="4"/>
          </w:tcPr>
          <w:p w14:paraId="2AF407A3" w14:textId="77777777" w:rsidR="006A378B" w:rsidRPr="00287F87" w:rsidRDefault="006A378B" w:rsidP="006A378B">
            <w:pPr>
              <w:jc w:val="both"/>
              <w:rPr>
                <w:rFonts w:ascii="Arial" w:hAnsi="Arial" w:cs="Arial"/>
                <w:sz w:val="18"/>
                <w:szCs w:val="18"/>
              </w:rPr>
            </w:pPr>
          </w:p>
        </w:tc>
      </w:tr>
      <w:tr w:rsidR="006A378B" w:rsidRPr="009872F3" w14:paraId="0665A1A3" w14:textId="77777777" w:rsidTr="006A378B">
        <w:tc>
          <w:tcPr>
            <w:tcW w:w="5798" w:type="dxa"/>
            <w:gridSpan w:val="3"/>
          </w:tcPr>
          <w:p w14:paraId="190575FF" w14:textId="77777777" w:rsidR="006A378B" w:rsidRPr="009872F3" w:rsidRDefault="006A378B" w:rsidP="006A378B">
            <w:pPr>
              <w:jc w:val="both"/>
              <w:rPr>
                <w:rFonts w:ascii="Arial" w:hAnsi="Arial" w:cs="Arial"/>
                <w:sz w:val="18"/>
                <w:szCs w:val="18"/>
              </w:rPr>
            </w:pPr>
            <w:r>
              <w:rPr>
                <w:rFonts w:ascii="Arial" w:hAnsi="Arial" w:cs="Arial"/>
                <w:sz w:val="18"/>
                <w:szCs w:val="18"/>
              </w:rPr>
              <w:t>Bestätigung, dass die die Verantwortlichkeiten und Kompetenzen des Verwaltungsrats angemessen ausgestaltet sind</w:t>
            </w:r>
          </w:p>
        </w:tc>
        <w:tc>
          <w:tcPr>
            <w:tcW w:w="3382" w:type="dxa"/>
          </w:tcPr>
          <w:p w14:paraId="018C820B" w14:textId="77777777" w:rsidR="006A378B" w:rsidRPr="00E109DF" w:rsidRDefault="006A378B" w:rsidP="006A378B">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B2AE971" w14:textId="77777777" w:rsidTr="006A378B">
        <w:tc>
          <w:tcPr>
            <w:tcW w:w="5798" w:type="dxa"/>
            <w:gridSpan w:val="3"/>
          </w:tcPr>
          <w:p w14:paraId="03F6A231" w14:textId="1E5211A9" w:rsidR="006A378B" w:rsidRPr="009872F3" w:rsidRDefault="006A378B" w:rsidP="006A378B">
            <w:pPr>
              <w:jc w:val="both"/>
              <w:rPr>
                <w:rFonts w:ascii="Arial" w:hAnsi="Arial" w:cs="Arial"/>
                <w:sz w:val="18"/>
                <w:szCs w:val="18"/>
              </w:rPr>
            </w:pPr>
            <w:r>
              <w:rPr>
                <w:rFonts w:ascii="Arial" w:hAnsi="Arial" w:cs="Arial"/>
                <w:sz w:val="18"/>
                <w:szCs w:val="18"/>
              </w:rPr>
              <w:t>Bestätigung, dass die Mitglieder des Verwaltungsrats sowohl individuell als auch kollektiv geeignet sind und ihre Eignung regelmässig intern überprüft wird</w:t>
            </w:r>
          </w:p>
        </w:tc>
        <w:tc>
          <w:tcPr>
            <w:tcW w:w="3382" w:type="dxa"/>
          </w:tcPr>
          <w:p w14:paraId="27B8E4B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0BADF86D" w14:textId="77777777" w:rsidTr="006A378B">
        <w:tc>
          <w:tcPr>
            <w:tcW w:w="5798" w:type="dxa"/>
            <w:gridSpan w:val="3"/>
          </w:tcPr>
          <w:p w14:paraId="384A7BD4" w14:textId="758E0022"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die Struktur de</w:t>
            </w:r>
            <w:r w:rsidR="0067062C">
              <w:rPr>
                <w:rFonts w:ascii="Arial" w:hAnsi="Arial" w:cs="Arial"/>
                <w:sz w:val="18"/>
                <w:szCs w:val="18"/>
              </w:rPr>
              <w:t xml:space="preserve">r </w:t>
            </w:r>
            <w:r w:rsidR="0067062C" w:rsidRPr="00B80B23">
              <w:rPr>
                <w:rFonts w:ascii="Arial" w:hAnsi="Arial" w:cs="Arial"/>
                <w:sz w:val="18"/>
                <w:szCs w:val="18"/>
                <w:highlight w:val="yellow"/>
              </w:rPr>
              <w:t>Bank / Gruppe</w:t>
            </w:r>
            <w:r>
              <w:rPr>
                <w:rFonts w:ascii="Arial" w:hAnsi="Arial" w:cs="Arial"/>
                <w:sz w:val="18"/>
                <w:szCs w:val="18"/>
              </w:rPr>
              <w:t xml:space="preserve"> sowie deren Geschäftsfelder und Risiken kennen</w:t>
            </w:r>
          </w:p>
        </w:tc>
        <w:tc>
          <w:tcPr>
            <w:tcW w:w="3382" w:type="dxa"/>
          </w:tcPr>
          <w:p w14:paraId="1C7D3D86" w14:textId="77777777" w:rsidR="006A378B" w:rsidRPr="009872F3" w:rsidRDefault="006A378B" w:rsidP="006A378B">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58DC950C" w14:textId="77777777" w:rsidTr="006A378B">
        <w:tc>
          <w:tcPr>
            <w:tcW w:w="5798" w:type="dxa"/>
            <w:gridSpan w:val="3"/>
          </w:tcPr>
          <w:p w14:paraId="2C2030A9" w14:textId="77777777" w:rsidR="006A378B" w:rsidRDefault="006A378B" w:rsidP="006A378B">
            <w:pPr>
              <w:jc w:val="both"/>
              <w:rPr>
                <w:rFonts w:ascii="Arial" w:hAnsi="Arial" w:cs="Arial"/>
                <w:sz w:val="18"/>
                <w:szCs w:val="18"/>
              </w:rPr>
            </w:pPr>
            <w:r>
              <w:rPr>
                <w:rFonts w:ascii="Arial" w:hAnsi="Arial" w:cs="Arial"/>
                <w:sz w:val="18"/>
                <w:szCs w:val="18"/>
              </w:rPr>
              <w:t>Bestätigung, dass die Mitglieder des Verwaltungsrats sich fortlaufend fachlich adäquat weiterbilden</w:t>
            </w:r>
          </w:p>
        </w:tc>
        <w:tc>
          <w:tcPr>
            <w:tcW w:w="3382" w:type="dxa"/>
          </w:tcPr>
          <w:p w14:paraId="69F78CAC"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A378B" w:rsidRPr="009872F3" w14:paraId="7064E422" w14:textId="77777777" w:rsidTr="006A378B">
        <w:tc>
          <w:tcPr>
            <w:tcW w:w="5798" w:type="dxa"/>
            <w:gridSpan w:val="3"/>
          </w:tcPr>
          <w:p w14:paraId="214EE326" w14:textId="77777777" w:rsidR="006A378B" w:rsidRDefault="006A378B" w:rsidP="006A378B">
            <w:pPr>
              <w:jc w:val="both"/>
              <w:rPr>
                <w:rFonts w:ascii="Arial" w:hAnsi="Arial" w:cs="Arial"/>
                <w:sz w:val="18"/>
                <w:szCs w:val="18"/>
              </w:rPr>
            </w:pPr>
            <w:r>
              <w:rPr>
                <w:rFonts w:ascii="Arial" w:hAnsi="Arial" w:cs="Arial"/>
                <w:sz w:val="18"/>
                <w:szCs w:val="18"/>
              </w:rPr>
              <w:lastRenderedPageBreak/>
              <w:t>Bestätigung, dass das interne Ausschusswesen angemessen ausgestaltet ist</w:t>
            </w:r>
          </w:p>
        </w:tc>
        <w:tc>
          <w:tcPr>
            <w:tcW w:w="3382" w:type="dxa"/>
          </w:tcPr>
          <w:p w14:paraId="6A6CF0F5" w14:textId="77777777" w:rsidR="006A378B" w:rsidRPr="00E109DF" w:rsidRDefault="006A378B"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54EE1" w:rsidRPr="009872F3" w14:paraId="4C5FBD75" w14:textId="77777777" w:rsidTr="006A378B">
        <w:tc>
          <w:tcPr>
            <w:tcW w:w="5798" w:type="dxa"/>
            <w:gridSpan w:val="3"/>
          </w:tcPr>
          <w:p w14:paraId="535F4FBA" w14:textId="63A80AC4" w:rsidR="00854EE1" w:rsidRDefault="00854EE1" w:rsidP="00C12AAC">
            <w:pPr>
              <w:jc w:val="both"/>
              <w:rPr>
                <w:rFonts w:ascii="Arial" w:hAnsi="Arial" w:cs="Arial"/>
                <w:sz w:val="18"/>
                <w:szCs w:val="18"/>
              </w:rPr>
            </w:pPr>
            <w:r>
              <w:rPr>
                <w:rFonts w:ascii="Arial" w:hAnsi="Arial" w:cs="Arial"/>
                <w:sz w:val="18"/>
                <w:szCs w:val="18"/>
              </w:rPr>
              <w:t xml:space="preserve">Bestätigung, dass das Whistleblowing-Verfahren innerhalb der </w:t>
            </w:r>
            <w:r w:rsidRPr="00B80B23">
              <w:rPr>
                <w:rFonts w:ascii="Arial" w:hAnsi="Arial" w:cs="Arial"/>
                <w:sz w:val="18"/>
                <w:szCs w:val="18"/>
                <w:highlight w:val="yellow"/>
              </w:rPr>
              <w:t>Bank / Gruppe</w:t>
            </w:r>
            <w:r w:rsidR="00C12AAC">
              <w:rPr>
                <w:rFonts w:ascii="Arial" w:hAnsi="Arial" w:cs="Arial"/>
                <w:sz w:val="18"/>
                <w:szCs w:val="18"/>
              </w:rPr>
              <w:t xml:space="preserve"> kommuniziert sowie</w:t>
            </w:r>
            <w:r>
              <w:rPr>
                <w:rFonts w:ascii="Arial" w:hAnsi="Arial" w:cs="Arial"/>
                <w:sz w:val="18"/>
                <w:szCs w:val="18"/>
              </w:rPr>
              <w:t xml:space="preserve"> </w:t>
            </w:r>
            <w:r w:rsidR="00C12AAC">
              <w:rPr>
                <w:rFonts w:ascii="Arial" w:hAnsi="Arial" w:cs="Arial"/>
                <w:sz w:val="18"/>
                <w:szCs w:val="18"/>
              </w:rPr>
              <w:t xml:space="preserve">angemessen </w:t>
            </w:r>
            <w:r>
              <w:rPr>
                <w:rFonts w:ascii="Arial" w:hAnsi="Arial" w:cs="Arial"/>
                <w:sz w:val="18"/>
                <w:szCs w:val="18"/>
              </w:rPr>
              <w:t xml:space="preserve">ausgestaltet </w:t>
            </w:r>
            <w:r w:rsidR="00C12AAC">
              <w:rPr>
                <w:rFonts w:ascii="Arial" w:hAnsi="Arial" w:cs="Arial"/>
                <w:sz w:val="18"/>
                <w:szCs w:val="18"/>
              </w:rPr>
              <w:t xml:space="preserve">und im Falle der Prüftiefe Detailprüfung auch effektiv ausgestaltet </w:t>
            </w:r>
            <w:r>
              <w:rPr>
                <w:rFonts w:ascii="Arial" w:hAnsi="Arial" w:cs="Arial"/>
                <w:sz w:val="18"/>
                <w:szCs w:val="18"/>
              </w:rPr>
              <w:t xml:space="preserve">wurde. </w:t>
            </w:r>
          </w:p>
        </w:tc>
        <w:tc>
          <w:tcPr>
            <w:tcW w:w="3382" w:type="dxa"/>
          </w:tcPr>
          <w:p w14:paraId="0A82861D" w14:textId="77777777" w:rsidR="00854EE1" w:rsidRPr="00E109DF" w:rsidRDefault="00A25387" w:rsidP="006A378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FF410D1" w14:textId="77777777" w:rsidR="006A378B" w:rsidRDefault="006A378B" w:rsidP="00E864F2">
      <w:pPr>
        <w:jc w:val="both"/>
      </w:pPr>
    </w:p>
    <w:tbl>
      <w:tblPr>
        <w:tblStyle w:val="Tabellenraster"/>
        <w:tblW w:w="0" w:type="auto"/>
        <w:tblLook w:val="04A0" w:firstRow="1" w:lastRow="0" w:firstColumn="1" w:lastColumn="0" w:noHBand="0" w:noVBand="1"/>
      </w:tblPr>
      <w:tblGrid>
        <w:gridCol w:w="2660"/>
        <w:gridCol w:w="6520"/>
      </w:tblGrid>
      <w:tr w:rsidR="006A378B" w:rsidRPr="00CE3194" w14:paraId="3919131F" w14:textId="77777777" w:rsidTr="006A378B">
        <w:tc>
          <w:tcPr>
            <w:tcW w:w="2660" w:type="dxa"/>
          </w:tcPr>
          <w:p w14:paraId="2135D734" w14:textId="77777777" w:rsidR="006A378B" w:rsidRPr="00CE3194" w:rsidRDefault="006A378B" w:rsidP="006A378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98D9EFD" w14:textId="77777777" w:rsidR="006A378B" w:rsidRPr="00CE3194" w:rsidRDefault="004F1B33" w:rsidP="006A378B">
            <w:pPr>
              <w:jc w:val="both"/>
              <w:rPr>
                <w:rFonts w:ascii="Arial" w:hAnsi="Arial" w:cs="Arial"/>
                <w:b/>
                <w:i/>
                <w:sz w:val="20"/>
                <w:szCs w:val="20"/>
                <w:highlight w:val="lightGray"/>
              </w:rPr>
            </w:pPr>
            <w:r>
              <w:rPr>
                <w:rFonts w:ascii="Arial" w:hAnsi="Arial" w:cs="Arial"/>
                <w:b/>
                <w:i/>
                <w:sz w:val="20"/>
                <w:szCs w:val="20"/>
                <w:highlight w:val="lightGray"/>
              </w:rPr>
              <w:t>Mindestp</w:t>
            </w:r>
            <w:r w:rsidR="006A378B" w:rsidRPr="00CE3194">
              <w:rPr>
                <w:rFonts w:ascii="Arial" w:hAnsi="Arial" w:cs="Arial"/>
                <w:b/>
                <w:i/>
                <w:sz w:val="20"/>
                <w:szCs w:val="20"/>
                <w:highlight w:val="lightGray"/>
              </w:rPr>
              <w:t>rüfinhalte</w:t>
            </w:r>
          </w:p>
        </w:tc>
      </w:tr>
      <w:tr w:rsidR="006A378B" w:rsidRPr="00CE3194" w14:paraId="0C5A85A8" w14:textId="77777777" w:rsidTr="006A378B">
        <w:tc>
          <w:tcPr>
            <w:tcW w:w="2660" w:type="dxa"/>
          </w:tcPr>
          <w:p w14:paraId="11FF637B" w14:textId="77777777"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Verantwortlichkeiten / Kompetenzen</w:t>
            </w:r>
          </w:p>
        </w:tc>
        <w:tc>
          <w:tcPr>
            <w:tcW w:w="6520" w:type="dxa"/>
          </w:tcPr>
          <w:p w14:paraId="0D9829A6" w14:textId="77777777" w:rsidR="006A378B" w:rsidRPr="006A378B" w:rsidRDefault="006A378B" w:rsidP="006A378B">
            <w:pPr>
              <w:pStyle w:val="Listenabsatz"/>
              <w:ind w:left="34"/>
              <w:jc w:val="both"/>
              <w:rPr>
                <w:rFonts w:cs="Arial"/>
                <w:i/>
                <w:szCs w:val="20"/>
                <w:highlight w:val="lightGray"/>
              </w:rPr>
            </w:pPr>
            <w:r>
              <w:rPr>
                <w:rFonts w:cs="Arial"/>
                <w:i/>
                <w:szCs w:val="20"/>
                <w:highlight w:val="lightGray"/>
              </w:rPr>
              <w:t xml:space="preserve">Es besteht eine klare und effektive Aufteilung von Verantwortlichkeiten </w:t>
            </w:r>
            <w:r w:rsidRPr="006A378B">
              <w:rPr>
                <w:rFonts w:cs="Arial"/>
                <w:i/>
                <w:szCs w:val="20"/>
                <w:highlight w:val="lightGray"/>
              </w:rPr>
              <w:t>und Kompetenzen, insbesondere hinsichtlich</w:t>
            </w:r>
          </w:p>
          <w:p w14:paraId="21826F1E"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a) Geschäftsstrategie, </w:t>
            </w:r>
          </w:p>
          <w:p w14:paraId="23ED9303"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b) Risikostrategie, Risikoappetit, Risikomanagementrahmenwerk</w:t>
            </w:r>
          </w:p>
          <w:p w14:paraId="6C2DAE02"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c) Angemessene Organisationsstruktur </w:t>
            </w:r>
          </w:p>
          <w:p w14:paraId="2F796D5A"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d) Höhe, Arten und Verteilung sowohl vom internen als auch vom regulatorischem Eigenkapital</w:t>
            </w:r>
          </w:p>
          <w:p w14:paraId="6064DB74"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e) Liquiditätsmanagementziele, </w:t>
            </w:r>
          </w:p>
          <w:p w14:paraId="1CDC3608" w14:textId="47119F95" w:rsidR="000F7AF4" w:rsidRPr="006A378B" w:rsidRDefault="006A378B" w:rsidP="006A378B">
            <w:pPr>
              <w:pStyle w:val="Listenabsatz"/>
              <w:ind w:left="34"/>
              <w:jc w:val="both"/>
              <w:rPr>
                <w:rFonts w:cs="Arial"/>
                <w:i/>
                <w:szCs w:val="20"/>
                <w:highlight w:val="lightGray"/>
              </w:rPr>
            </w:pPr>
            <w:r w:rsidRPr="006A378B">
              <w:rPr>
                <w:rFonts w:cs="Arial"/>
                <w:i/>
                <w:szCs w:val="20"/>
                <w:highlight w:val="lightGray"/>
              </w:rPr>
              <w:t xml:space="preserve">f) Vergütungspolitik, </w:t>
            </w:r>
          </w:p>
          <w:p w14:paraId="7C6CE9BD" w14:textId="77777777" w:rsidR="006A378B" w:rsidRPr="006A378B" w:rsidRDefault="006A378B" w:rsidP="006A378B">
            <w:pPr>
              <w:pStyle w:val="Listenabsatz"/>
              <w:ind w:left="34"/>
              <w:jc w:val="both"/>
              <w:rPr>
                <w:rFonts w:cs="Arial"/>
                <w:i/>
                <w:szCs w:val="20"/>
                <w:highlight w:val="lightGray"/>
              </w:rPr>
            </w:pPr>
            <w:r w:rsidRPr="006A378B">
              <w:rPr>
                <w:rFonts w:cs="Arial"/>
                <w:i/>
                <w:szCs w:val="20"/>
                <w:highlight w:val="lightGray"/>
              </w:rPr>
              <w:t>g) Unternehmenskultur-/werte und Code of Conduct</w:t>
            </w:r>
          </w:p>
          <w:p w14:paraId="794FFAEE" w14:textId="77777777" w:rsidR="006A378B" w:rsidRPr="00CE3194" w:rsidRDefault="006A378B" w:rsidP="00417B23">
            <w:pPr>
              <w:pStyle w:val="Listenabsatz"/>
              <w:ind w:left="34"/>
              <w:jc w:val="both"/>
              <w:rPr>
                <w:rFonts w:cs="Arial"/>
                <w:i/>
                <w:szCs w:val="20"/>
                <w:highlight w:val="lightGray"/>
              </w:rPr>
            </w:pPr>
            <w:r w:rsidRPr="006A378B">
              <w:rPr>
                <w:rFonts w:cs="Arial"/>
                <w:i/>
                <w:szCs w:val="20"/>
                <w:highlight w:val="lightGray"/>
              </w:rPr>
              <w:t>h)</w:t>
            </w:r>
            <w:r w:rsidR="00417B23">
              <w:rPr>
                <w:rFonts w:cs="Arial"/>
                <w:i/>
                <w:szCs w:val="20"/>
                <w:highlight w:val="lightGray"/>
              </w:rPr>
              <w:t xml:space="preserve"> </w:t>
            </w:r>
            <w:r w:rsidRPr="006A378B">
              <w:rPr>
                <w:rFonts w:cs="Arial"/>
                <w:i/>
                <w:szCs w:val="20"/>
                <w:highlight w:val="lightGray"/>
              </w:rPr>
              <w:t>Whistleblowing-Verfahren</w:t>
            </w:r>
            <w:r w:rsidR="00854EE1">
              <w:rPr>
                <w:rFonts w:cs="Arial"/>
                <w:i/>
                <w:szCs w:val="20"/>
                <w:highlight w:val="lightGray"/>
              </w:rPr>
              <w:t xml:space="preserve"> (Gewährleistung der Anonymität; Effektive Kommunikation innerhalb des Unternehmens; </w:t>
            </w:r>
            <w:r w:rsidR="00A25387">
              <w:rPr>
                <w:rFonts w:cs="Arial"/>
                <w:i/>
                <w:szCs w:val="20"/>
                <w:highlight w:val="lightGray"/>
              </w:rPr>
              <w:t>direkte Rapportierung an den Verwaltungsrat)</w:t>
            </w:r>
          </w:p>
        </w:tc>
      </w:tr>
      <w:tr w:rsidR="006A378B" w:rsidRPr="00CE3194" w14:paraId="2FD80001" w14:textId="77777777" w:rsidTr="006A378B">
        <w:tc>
          <w:tcPr>
            <w:tcW w:w="2660" w:type="dxa"/>
          </w:tcPr>
          <w:p w14:paraId="07C647FD" w14:textId="4D7C41A8" w:rsidR="006A378B" w:rsidRPr="00CE3194" w:rsidRDefault="006A378B" w:rsidP="006A378B">
            <w:pPr>
              <w:jc w:val="both"/>
              <w:rPr>
                <w:rFonts w:ascii="Arial" w:hAnsi="Arial" w:cs="Arial"/>
                <w:i/>
                <w:sz w:val="20"/>
                <w:szCs w:val="20"/>
                <w:highlight w:val="lightGray"/>
              </w:rPr>
            </w:pPr>
            <w:r>
              <w:rPr>
                <w:rFonts w:ascii="Arial" w:hAnsi="Arial" w:cs="Arial"/>
                <w:i/>
                <w:sz w:val="20"/>
                <w:szCs w:val="20"/>
                <w:highlight w:val="lightGray"/>
              </w:rPr>
              <w:t>Eignung</w:t>
            </w:r>
            <w:r w:rsidR="00C468E0">
              <w:rPr>
                <w:rFonts w:ascii="Arial" w:hAnsi="Arial" w:cs="Arial"/>
                <w:i/>
                <w:sz w:val="20"/>
                <w:szCs w:val="20"/>
                <w:highlight w:val="lightGray"/>
              </w:rPr>
              <w:t xml:space="preserve"> (inkl. Fachliche Eignung</w:t>
            </w:r>
            <w:r>
              <w:rPr>
                <w:rFonts w:ascii="Arial" w:hAnsi="Arial" w:cs="Arial"/>
                <w:i/>
                <w:sz w:val="20"/>
                <w:szCs w:val="20"/>
                <w:highlight w:val="lightGray"/>
              </w:rPr>
              <w:t xml:space="preserve"> / Weiterbildung</w:t>
            </w:r>
            <w:r w:rsidR="00C468E0">
              <w:rPr>
                <w:rFonts w:ascii="Arial" w:hAnsi="Arial" w:cs="Arial"/>
                <w:i/>
                <w:sz w:val="20"/>
                <w:szCs w:val="20"/>
                <w:highlight w:val="lightGray"/>
              </w:rPr>
              <w:t>)</w:t>
            </w:r>
          </w:p>
        </w:tc>
        <w:tc>
          <w:tcPr>
            <w:tcW w:w="6520" w:type="dxa"/>
          </w:tcPr>
          <w:p w14:paraId="5CC47319"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sind sowohl individuell als auch kollektiv geeignet</w:t>
            </w:r>
          </w:p>
          <w:p w14:paraId="77807D24" w14:textId="19A73248"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Es besteht ein internes Verfahren zur regelmässigen Überprüfung der individuellen und kol</w:t>
            </w:r>
            <w:r w:rsidR="00746BAD">
              <w:rPr>
                <w:rFonts w:cs="Arial"/>
                <w:i/>
                <w:szCs w:val="20"/>
                <w:highlight w:val="lightGray"/>
              </w:rPr>
              <w:t>l</w:t>
            </w:r>
            <w:r w:rsidRPr="006A378B">
              <w:rPr>
                <w:rFonts w:cs="Arial"/>
                <w:i/>
                <w:szCs w:val="20"/>
                <w:highlight w:val="lightGray"/>
              </w:rPr>
              <w:t>ektiven Eignung</w:t>
            </w:r>
          </w:p>
          <w:p w14:paraId="3E40C1EF" w14:textId="109EAA92" w:rsidR="004621DB" w:rsidRPr="006A378B" w:rsidRDefault="004621DB" w:rsidP="006A378B">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bestehen interne Verfahren, welche sicherstellen, dass bei der Auswahl von Mitgliedern des Verwaltungsrats auf eine grosse Bandbreite von Eigenschaften und Fähigkeiten sowie Diversität </w:t>
            </w:r>
            <w:r w:rsidR="0048641E">
              <w:rPr>
                <w:rFonts w:cs="Arial"/>
                <w:i/>
                <w:szCs w:val="20"/>
                <w:highlight w:val="lightGray"/>
              </w:rPr>
              <w:t xml:space="preserve">(u.a. unabhängige Mitglieder) </w:t>
            </w:r>
            <w:r>
              <w:rPr>
                <w:rFonts w:cs="Arial"/>
                <w:i/>
                <w:szCs w:val="20"/>
                <w:highlight w:val="lightGray"/>
              </w:rPr>
              <w:t xml:space="preserve">geachtet wird. </w:t>
            </w:r>
          </w:p>
          <w:p w14:paraId="174DBFF9" w14:textId="40B1E921"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kennen die Struktur, in denen sich d</w:t>
            </w:r>
            <w:r w:rsidR="00E70DF4">
              <w:rPr>
                <w:rFonts w:cs="Arial"/>
                <w:i/>
                <w:szCs w:val="20"/>
                <w:highlight w:val="lightGray"/>
              </w:rPr>
              <w:t>ie Bank / Gruppe</w:t>
            </w:r>
            <w:r w:rsidRPr="006A378B">
              <w:rPr>
                <w:rFonts w:cs="Arial"/>
                <w:i/>
                <w:szCs w:val="20"/>
                <w:highlight w:val="lightGray"/>
              </w:rPr>
              <w:t xml:space="preserve"> bewegt ("Know-Your-Structure")</w:t>
            </w:r>
          </w:p>
          <w:p w14:paraId="1CCA6A88" w14:textId="04496E5C"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kennen sämtliche Geschäftsfelder und Risiken de</w:t>
            </w:r>
            <w:r w:rsidR="00E70DF4">
              <w:rPr>
                <w:rFonts w:cs="Arial"/>
                <w:i/>
                <w:szCs w:val="20"/>
                <w:highlight w:val="lightGray"/>
              </w:rPr>
              <w:t>r Bank / Gruppe</w:t>
            </w:r>
            <w:r w:rsidRPr="006A378B">
              <w:rPr>
                <w:rFonts w:cs="Arial"/>
                <w:i/>
                <w:szCs w:val="20"/>
                <w:highlight w:val="lightGray"/>
              </w:rPr>
              <w:t xml:space="preserve"> ("Know Your Business and Risks")</w:t>
            </w:r>
          </w:p>
          <w:p w14:paraId="1C65AA4A"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Mitglieder des Gremiums werden regelmässig fachlich einschlägig weitergebildet</w:t>
            </w:r>
          </w:p>
          <w:p w14:paraId="64F159C8" w14:textId="101B6AF5"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 xml:space="preserve">Die Mitglieder des Gremiums sind zuverlässig, kümmern sich ausnahmslos um das gesetzeskonforme </w:t>
            </w:r>
            <w:r w:rsidR="008F0E6F" w:rsidRPr="006A378B">
              <w:rPr>
                <w:rFonts w:cs="Arial"/>
                <w:i/>
                <w:szCs w:val="20"/>
                <w:highlight w:val="lightGray"/>
              </w:rPr>
              <w:t>Gebaren</w:t>
            </w:r>
            <w:r w:rsidRPr="006A378B">
              <w:rPr>
                <w:rFonts w:cs="Arial"/>
                <w:i/>
                <w:szCs w:val="20"/>
                <w:highlight w:val="lightGray"/>
              </w:rPr>
              <w:t xml:space="preserve"> de</w:t>
            </w:r>
            <w:r w:rsidR="00E70DF4">
              <w:rPr>
                <w:rFonts w:cs="Arial"/>
                <w:i/>
                <w:szCs w:val="20"/>
                <w:highlight w:val="lightGray"/>
              </w:rPr>
              <w:t>r / Gruppe</w:t>
            </w:r>
            <w:r w:rsidRPr="006A378B">
              <w:rPr>
                <w:rFonts w:cs="Arial"/>
                <w:i/>
                <w:szCs w:val="20"/>
                <w:highlight w:val="lightGray"/>
              </w:rPr>
              <w:t xml:space="preserve"> und haben einen guten Ruf.</w:t>
            </w:r>
          </w:p>
          <w:p w14:paraId="0342AC48" w14:textId="4D31FD60" w:rsidR="004621DB" w:rsidRPr="00CE3194" w:rsidRDefault="004621DB" w:rsidP="006A378B">
            <w:pPr>
              <w:pStyle w:val="Listenabsatz"/>
              <w:numPr>
                <w:ilvl w:val="1"/>
                <w:numId w:val="17"/>
              </w:numPr>
              <w:ind w:left="317" w:hanging="283"/>
              <w:jc w:val="both"/>
              <w:rPr>
                <w:rFonts w:cs="Arial"/>
                <w:i/>
                <w:szCs w:val="20"/>
                <w:highlight w:val="lightGray"/>
              </w:rPr>
            </w:pPr>
            <w:r>
              <w:rPr>
                <w:rFonts w:cs="Arial"/>
                <w:i/>
                <w:szCs w:val="20"/>
                <w:highlight w:val="lightGray"/>
              </w:rPr>
              <w:t xml:space="preserve">Die Mitglieder des Gremiums verfügen über ausreichend Ressourcen </w:t>
            </w:r>
            <w:r w:rsidR="0048641E">
              <w:rPr>
                <w:rFonts w:cs="Arial"/>
                <w:i/>
                <w:szCs w:val="20"/>
                <w:highlight w:val="lightGray"/>
              </w:rPr>
              <w:t xml:space="preserve">(u.a. zeitliche Verfügbarkeit) </w:t>
            </w:r>
            <w:r>
              <w:rPr>
                <w:rFonts w:cs="Arial"/>
                <w:i/>
                <w:szCs w:val="20"/>
                <w:highlight w:val="lightGray"/>
              </w:rPr>
              <w:t xml:space="preserve">und halten die Mandatsbeschränkung ein. </w:t>
            </w:r>
          </w:p>
        </w:tc>
      </w:tr>
      <w:tr w:rsidR="006A378B" w:rsidRPr="00CE3194" w14:paraId="5CCDB653" w14:textId="77777777" w:rsidTr="00CB3EE6">
        <w:trPr>
          <w:trHeight w:val="984"/>
        </w:trPr>
        <w:tc>
          <w:tcPr>
            <w:tcW w:w="2660" w:type="dxa"/>
          </w:tcPr>
          <w:p w14:paraId="0C84E289" w14:textId="77777777" w:rsidR="006A378B" w:rsidRDefault="006A378B" w:rsidP="006A378B">
            <w:pPr>
              <w:jc w:val="both"/>
              <w:rPr>
                <w:rFonts w:ascii="Arial" w:hAnsi="Arial" w:cs="Arial"/>
                <w:i/>
                <w:sz w:val="20"/>
                <w:szCs w:val="20"/>
                <w:highlight w:val="lightGray"/>
              </w:rPr>
            </w:pPr>
            <w:r>
              <w:rPr>
                <w:rFonts w:ascii="Arial" w:hAnsi="Arial" w:cs="Arial"/>
                <w:i/>
                <w:sz w:val="20"/>
                <w:szCs w:val="20"/>
                <w:highlight w:val="lightGray"/>
              </w:rPr>
              <w:t>Ausschusswesen</w:t>
            </w:r>
          </w:p>
        </w:tc>
        <w:tc>
          <w:tcPr>
            <w:tcW w:w="6520" w:type="dxa"/>
          </w:tcPr>
          <w:p w14:paraId="60F366C7" w14:textId="06E300F0" w:rsid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w:t>
            </w:r>
            <w:r w:rsidR="00E70DF4">
              <w:rPr>
                <w:rFonts w:cs="Arial"/>
                <w:i/>
                <w:szCs w:val="20"/>
                <w:highlight w:val="lightGray"/>
              </w:rPr>
              <w:t>ie Bank / Gruppe</w:t>
            </w:r>
            <w:r w:rsidRPr="006A378B">
              <w:rPr>
                <w:rFonts w:cs="Arial"/>
                <w:i/>
                <w:szCs w:val="20"/>
                <w:highlight w:val="lightGray"/>
              </w:rPr>
              <w:t xml:space="preserve"> hat im Rahmen des Proportionalitätsprinzips </w:t>
            </w:r>
            <w:r w:rsidR="0067062C">
              <w:rPr>
                <w:rFonts w:cs="Arial"/>
                <w:i/>
                <w:szCs w:val="20"/>
                <w:highlight w:val="lightGray"/>
              </w:rPr>
              <w:t xml:space="preserve">sowie anhand der Vorgaben nach BankG/BankV ausreichend viele und effektiv tätige </w:t>
            </w:r>
            <w:r w:rsidRPr="006A378B">
              <w:rPr>
                <w:rFonts w:cs="Arial"/>
                <w:i/>
                <w:szCs w:val="20"/>
                <w:highlight w:val="lightGray"/>
              </w:rPr>
              <w:t>Ausschüsse eingerichtet</w:t>
            </w:r>
          </w:p>
          <w:p w14:paraId="74BAC54B" w14:textId="4DA7B90D" w:rsidR="0067062C" w:rsidRPr="006A378B" w:rsidRDefault="00E70DF4" w:rsidP="006A378B">
            <w:pPr>
              <w:pStyle w:val="Listenabsatz"/>
              <w:numPr>
                <w:ilvl w:val="1"/>
                <w:numId w:val="17"/>
              </w:numPr>
              <w:ind w:left="317" w:hanging="283"/>
              <w:jc w:val="both"/>
              <w:rPr>
                <w:rFonts w:cs="Arial"/>
                <w:i/>
                <w:szCs w:val="20"/>
                <w:highlight w:val="lightGray"/>
              </w:rPr>
            </w:pPr>
            <w:r>
              <w:rPr>
                <w:rFonts w:cs="Arial"/>
                <w:i/>
                <w:szCs w:val="20"/>
                <w:highlight w:val="lightGray"/>
              </w:rPr>
              <w:t xml:space="preserve">Die Bank / Gruppe </w:t>
            </w:r>
            <w:r w:rsidR="0067062C">
              <w:rPr>
                <w:rFonts w:cs="Arial"/>
                <w:i/>
                <w:szCs w:val="20"/>
                <w:highlight w:val="lightGray"/>
              </w:rPr>
              <w:t xml:space="preserve">verfügt über </w:t>
            </w:r>
            <w:r>
              <w:rPr>
                <w:rFonts w:cs="Arial"/>
                <w:i/>
                <w:szCs w:val="20"/>
                <w:highlight w:val="lightGray"/>
              </w:rPr>
              <w:t>dokumentierte</w:t>
            </w:r>
            <w:r w:rsidR="0067062C">
              <w:rPr>
                <w:rFonts w:cs="Arial"/>
                <w:i/>
                <w:szCs w:val="20"/>
                <w:highlight w:val="lightGray"/>
              </w:rPr>
              <w:t xml:space="preserve"> Verfahren zur Einsetzung von ad-hoc-Ausschüssen sowie zum fachlichen Austausch von Ausschüssen untereinander</w:t>
            </w:r>
          </w:p>
          <w:p w14:paraId="3C2FC8C1"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Zusammensetzung der Ausschüsse ist angemessen (insb</w:t>
            </w:r>
            <w:r w:rsidR="0067062C">
              <w:rPr>
                <w:rFonts w:cs="Arial"/>
                <w:i/>
                <w:szCs w:val="20"/>
                <w:highlight w:val="lightGray"/>
              </w:rPr>
              <w:t>.</w:t>
            </w:r>
            <w:r w:rsidRPr="006A378B">
              <w:rPr>
                <w:rFonts w:cs="Arial"/>
                <w:i/>
                <w:szCs w:val="20"/>
                <w:highlight w:val="lightGray"/>
              </w:rPr>
              <w:t xml:space="preserve"> hinsichtlich Unabhängigkeit </w:t>
            </w:r>
            <w:r w:rsidR="0067062C">
              <w:rPr>
                <w:rFonts w:cs="Arial"/>
                <w:i/>
                <w:szCs w:val="20"/>
                <w:highlight w:val="lightGray"/>
              </w:rPr>
              <w:t>der Mitglieder und der Ausschüsse untereinander; fachliche Eignung der Mitglieder;</w:t>
            </w:r>
            <w:r w:rsidRPr="006A378B">
              <w:rPr>
                <w:rFonts w:cs="Arial"/>
                <w:i/>
                <w:szCs w:val="20"/>
                <w:highlight w:val="lightGray"/>
              </w:rPr>
              <w:t xml:space="preserve"> Trennung Markt-Marktfolge)</w:t>
            </w:r>
          </w:p>
          <w:p w14:paraId="10356D5B" w14:textId="77777777" w:rsidR="006A378B" w:rsidRPr="006A378B"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Geschäftsordnungen der Ausschüsse sind angemessen</w:t>
            </w:r>
          </w:p>
          <w:p w14:paraId="6CB0FC58" w14:textId="77777777" w:rsidR="006A378B" w:rsidRPr="00E864F2" w:rsidRDefault="006A378B" w:rsidP="006A378B">
            <w:pPr>
              <w:pStyle w:val="Listenabsatz"/>
              <w:numPr>
                <w:ilvl w:val="1"/>
                <w:numId w:val="17"/>
              </w:numPr>
              <w:ind w:left="317" w:hanging="283"/>
              <w:jc w:val="both"/>
              <w:rPr>
                <w:rFonts w:cs="Arial"/>
                <w:i/>
                <w:szCs w:val="20"/>
                <w:highlight w:val="lightGray"/>
              </w:rPr>
            </w:pPr>
            <w:r w:rsidRPr="006A378B">
              <w:rPr>
                <w:rFonts w:cs="Arial"/>
                <w:i/>
                <w:szCs w:val="20"/>
                <w:highlight w:val="lightGray"/>
              </w:rPr>
              <w:t>Die Ausschüsse können direkt und ungefiltert an den Verwaltungsrat berichten</w:t>
            </w:r>
          </w:p>
        </w:tc>
      </w:tr>
      <w:tr w:rsidR="00A25387" w:rsidRPr="00CE3194" w14:paraId="6763EE8E" w14:textId="77777777" w:rsidTr="006A378B">
        <w:trPr>
          <w:trHeight w:val="2050"/>
        </w:trPr>
        <w:tc>
          <w:tcPr>
            <w:tcW w:w="2660" w:type="dxa"/>
          </w:tcPr>
          <w:p w14:paraId="5AD87FD1" w14:textId="77777777" w:rsidR="00A25387" w:rsidRDefault="00A25387" w:rsidP="006A378B">
            <w:pPr>
              <w:jc w:val="both"/>
              <w:rPr>
                <w:rFonts w:ascii="Arial" w:hAnsi="Arial" w:cs="Arial"/>
                <w:i/>
                <w:sz w:val="20"/>
                <w:szCs w:val="20"/>
                <w:highlight w:val="lightGray"/>
              </w:rPr>
            </w:pPr>
            <w:r>
              <w:rPr>
                <w:rFonts w:ascii="Arial" w:hAnsi="Arial" w:cs="Arial"/>
                <w:i/>
                <w:sz w:val="20"/>
                <w:szCs w:val="20"/>
                <w:highlight w:val="lightGray"/>
              </w:rPr>
              <w:lastRenderedPageBreak/>
              <w:t>Whistleblowing-Verfahren</w:t>
            </w:r>
          </w:p>
        </w:tc>
        <w:tc>
          <w:tcPr>
            <w:tcW w:w="6520" w:type="dxa"/>
          </w:tcPr>
          <w:p w14:paraId="3EAC63D2" w14:textId="3672F49A" w:rsidR="00A25387" w:rsidRDefault="00A25387" w:rsidP="00CB3EE6">
            <w:pPr>
              <w:pStyle w:val="Listenabsatz"/>
              <w:numPr>
                <w:ilvl w:val="1"/>
                <w:numId w:val="17"/>
              </w:numPr>
              <w:ind w:left="317" w:hanging="283"/>
              <w:jc w:val="both"/>
              <w:rPr>
                <w:rFonts w:cs="Arial"/>
                <w:i/>
                <w:szCs w:val="20"/>
                <w:highlight w:val="lightGray"/>
              </w:rPr>
            </w:pPr>
            <w:r w:rsidRPr="00EE5944">
              <w:rPr>
                <w:rFonts w:cs="Arial"/>
                <w:i/>
                <w:szCs w:val="20"/>
                <w:highlight w:val="lightGray"/>
              </w:rPr>
              <w:t>D</w:t>
            </w:r>
            <w:r w:rsidR="00AB193D">
              <w:rPr>
                <w:rFonts w:cs="Arial"/>
                <w:i/>
                <w:szCs w:val="20"/>
                <w:highlight w:val="lightGray"/>
              </w:rPr>
              <w:t>ie Bank /</w:t>
            </w:r>
            <w:r>
              <w:rPr>
                <w:rFonts w:cs="Arial"/>
                <w:i/>
                <w:szCs w:val="20"/>
                <w:highlight w:val="lightGray"/>
              </w:rPr>
              <w:t xml:space="preserve"> Gruppe</w:t>
            </w:r>
            <w:r w:rsidRPr="00CB3EE6">
              <w:rPr>
                <w:rFonts w:cs="Arial"/>
                <w:i/>
                <w:szCs w:val="20"/>
                <w:highlight w:val="lightGray"/>
              </w:rPr>
              <w:t xml:space="preserve"> hat Verfahren eingerichtet, die in aussergewöhnlichen Fällen eine zulässige direkte Meldung von Mitarbeitern an den Verwaltungsrat (zulässige Durchbrechung der Hierarchie) vorsehen</w:t>
            </w:r>
          </w:p>
          <w:p w14:paraId="767E4288" w14:textId="731E795B" w:rsidR="00A25387" w:rsidRDefault="00A25387"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Der Verwaltungsrat hat die Einrichtung eines effektiven internen Hinweisgebersystems („Whistleblowing“) gesichert und dessen Funktions</w:t>
            </w:r>
            <w:r w:rsidRPr="00EE5944">
              <w:rPr>
                <w:rFonts w:cs="Arial"/>
                <w:i/>
                <w:szCs w:val="20"/>
                <w:highlight w:val="lightGray"/>
              </w:rPr>
              <w:t>weise innerhalb de</w:t>
            </w:r>
            <w:r>
              <w:rPr>
                <w:rFonts w:cs="Arial"/>
                <w:i/>
                <w:szCs w:val="20"/>
                <w:highlight w:val="lightGray"/>
              </w:rPr>
              <w:t xml:space="preserve">r Bank </w:t>
            </w:r>
            <w:r w:rsidRPr="00CB3EE6">
              <w:rPr>
                <w:rFonts w:cs="Arial"/>
                <w:i/>
                <w:szCs w:val="20"/>
                <w:highlight w:val="lightGray"/>
              </w:rPr>
              <w:t>/</w:t>
            </w:r>
            <w:r>
              <w:rPr>
                <w:rFonts w:cs="Arial"/>
                <w:i/>
                <w:szCs w:val="20"/>
                <w:highlight w:val="lightGray"/>
              </w:rPr>
              <w:t xml:space="preserve"> </w:t>
            </w:r>
            <w:r w:rsidRPr="00CB3EE6">
              <w:rPr>
                <w:rFonts w:cs="Arial"/>
                <w:i/>
                <w:szCs w:val="20"/>
                <w:highlight w:val="lightGray"/>
              </w:rPr>
              <w:t>Gruppe angemessen kommuniziert</w:t>
            </w:r>
          </w:p>
          <w:p w14:paraId="64CB540A" w14:textId="77777777" w:rsidR="00A25387" w:rsidRPr="006A378B" w:rsidRDefault="00A25387"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Das eingerichtete Hinweisgebersystem stellt sicher, dass Hinweisgeber anonym bleiben und dadurch mit keinen negativen Auswirkungen bei Erstattung von Hinweisen rechnen müssen</w:t>
            </w:r>
          </w:p>
        </w:tc>
      </w:tr>
    </w:tbl>
    <w:p w14:paraId="26E1FAA0" w14:textId="77777777" w:rsidR="00F8275A" w:rsidRDefault="00F8275A" w:rsidP="00E864F2">
      <w:pPr>
        <w:jc w:val="both"/>
      </w:pPr>
    </w:p>
    <w:p w14:paraId="0EBD14F4" w14:textId="77777777" w:rsidR="006A378B" w:rsidRPr="00CB3EE6" w:rsidRDefault="00E70DF4" w:rsidP="00E864F2">
      <w:pPr>
        <w:jc w:val="both"/>
        <w:rPr>
          <w:rFonts w:ascii="Arial" w:hAnsi="Arial" w:cs="Arial"/>
          <w:i/>
          <w:sz w:val="20"/>
          <w:szCs w:val="20"/>
        </w:rPr>
      </w:pPr>
      <w:r w:rsidRPr="00CB3EE6">
        <w:rPr>
          <w:rFonts w:ascii="Arial" w:hAnsi="Arial" w:cs="Arial"/>
          <w:i/>
          <w:sz w:val="20"/>
          <w:szCs w:val="20"/>
          <w:highlight w:val="yellow"/>
        </w:rPr>
        <w:t>Text</w:t>
      </w:r>
    </w:p>
    <w:p w14:paraId="06D98546" w14:textId="77777777" w:rsidR="00E864F2" w:rsidRDefault="00E864F2" w:rsidP="00E864F2">
      <w:pPr>
        <w:jc w:val="both"/>
      </w:pPr>
    </w:p>
    <w:p w14:paraId="61DA7D7C" w14:textId="77777777" w:rsidR="00543DCA" w:rsidRDefault="00743771" w:rsidP="006F7AB5">
      <w:pPr>
        <w:pStyle w:val="FINMAGliederungEbene3"/>
      </w:pPr>
      <w:bookmarkStart w:id="58" w:name="_Toc216425807"/>
      <w:r>
        <w:t>Interessenskonflikte</w:t>
      </w:r>
      <w:r w:rsidR="00543DCA">
        <w:t xml:space="preserve"> (GOV-3)</w:t>
      </w:r>
      <w:bookmarkEnd w:id="58"/>
    </w:p>
    <w:p w14:paraId="160CDA96" w14:textId="77777777" w:rsidR="00543DCA" w:rsidRDefault="00543DCA"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43771" w:rsidRPr="009872F3" w14:paraId="702B2D4E" w14:textId="77777777" w:rsidTr="00BC19D0">
        <w:trPr>
          <w:trHeight w:val="563"/>
        </w:trPr>
        <w:tc>
          <w:tcPr>
            <w:tcW w:w="1932" w:type="dxa"/>
          </w:tcPr>
          <w:p w14:paraId="062A6C7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490892C"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57EB1255"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43771" w:rsidRPr="009872F3" w14:paraId="1D1962D9" w14:textId="77777777" w:rsidTr="00BC19D0">
        <w:trPr>
          <w:trHeight w:val="698"/>
        </w:trPr>
        <w:tc>
          <w:tcPr>
            <w:tcW w:w="1932" w:type="dxa"/>
          </w:tcPr>
          <w:p w14:paraId="4375EECA" w14:textId="76638C80"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569320" w14:textId="77777777" w:rsidR="00743771" w:rsidRPr="006749F0" w:rsidRDefault="00743771"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A5700FF" w14:textId="77777777" w:rsidR="00743771" w:rsidRPr="009872F3" w:rsidRDefault="00743771"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6CE36B0" w14:textId="77777777" w:rsidR="00743771" w:rsidRDefault="00743771"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014E81C" w14:textId="77777777" w:rsidR="00743771" w:rsidRPr="006749F0" w:rsidRDefault="00743771" w:rsidP="00BC19D0">
            <w:pPr>
              <w:jc w:val="both"/>
              <w:rPr>
                <w:rFonts w:ascii="Arial" w:hAnsi="Arial" w:cs="Arial"/>
                <w:i/>
                <w:sz w:val="18"/>
                <w:szCs w:val="18"/>
              </w:rPr>
            </w:pPr>
            <w:r w:rsidRPr="006749F0">
              <w:rPr>
                <w:rFonts w:ascii="Arial" w:hAnsi="Arial" w:cs="Arial"/>
                <w:i/>
                <w:sz w:val="18"/>
                <w:szCs w:val="18"/>
                <w:highlight w:val="yellow"/>
              </w:rPr>
              <w:t>Jahr</w:t>
            </w:r>
          </w:p>
        </w:tc>
      </w:tr>
      <w:tr w:rsidR="00743771" w:rsidRPr="00DC249D" w14:paraId="7D188D13" w14:textId="77777777" w:rsidTr="00BC19D0">
        <w:trPr>
          <w:trHeight w:val="636"/>
        </w:trPr>
        <w:tc>
          <w:tcPr>
            <w:tcW w:w="9180" w:type="dxa"/>
            <w:gridSpan w:val="4"/>
          </w:tcPr>
          <w:p w14:paraId="71F1EF27" w14:textId="77777777" w:rsidR="00743771" w:rsidRDefault="00743771" w:rsidP="00BC19D0">
            <w:pPr>
              <w:jc w:val="both"/>
              <w:rPr>
                <w:rFonts w:ascii="Arial" w:hAnsi="Arial" w:cs="Arial"/>
                <w:sz w:val="18"/>
                <w:szCs w:val="18"/>
              </w:rPr>
            </w:pPr>
          </w:p>
          <w:p w14:paraId="6970A094" w14:textId="77777777" w:rsidR="00743771" w:rsidRPr="00F60909" w:rsidRDefault="00743771"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20CD3FE2" w14:textId="5927FA7F" w:rsidR="00743771" w:rsidRPr="00287F87" w:rsidRDefault="009E4D18" w:rsidP="00BC19D0">
            <w:pPr>
              <w:jc w:val="both"/>
              <w:rPr>
                <w:rFonts w:ascii="Arial" w:hAnsi="Arial" w:cs="Arial"/>
                <w:sz w:val="18"/>
                <w:szCs w:val="18"/>
              </w:rPr>
            </w:pPr>
            <w:r w:rsidRPr="00287F87">
              <w:rPr>
                <w:rFonts w:ascii="Arial" w:hAnsi="Arial" w:cs="Arial"/>
                <w:sz w:val="18"/>
                <w:szCs w:val="18"/>
                <w:highlight w:val="yellow"/>
              </w:rPr>
              <w:t xml:space="preserve">Art. 71 BankG, </w:t>
            </w:r>
            <w:r w:rsidR="00743771" w:rsidRPr="002561FD">
              <w:rPr>
                <w:rFonts w:ascii="Arial" w:hAnsi="Arial" w:cs="Arial"/>
                <w:sz w:val="18"/>
                <w:szCs w:val="18"/>
                <w:highlight w:val="yellow"/>
              </w:rPr>
              <w:t xml:space="preserve"> </w:t>
            </w:r>
            <w:r w:rsidR="00E667CF" w:rsidRPr="002561FD">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p>
        </w:tc>
      </w:tr>
      <w:tr w:rsidR="00743771" w:rsidRPr="00DC249D" w14:paraId="56769B66" w14:textId="77777777" w:rsidTr="00BC19D0">
        <w:trPr>
          <w:trHeight w:val="294"/>
        </w:trPr>
        <w:tc>
          <w:tcPr>
            <w:tcW w:w="9180" w:type="dxa"/>
            <w:gridSpan w:val="4"/>
          </w:tcPr>
          <w:p w14:paraId="31E91926" w14:textId="77777777" w:rsidR="00743771" w:rsidRPr="00287F87" w:rsidRDefault="00743771" w:rsidP="00BC19D0">
            <w:pPr>
              <w:jc w:val="both"/>
              <w:rPr>
                <w:rFonts w:ascii="Arial" w:hAnsi="Arial" w:cs="Arial"/>
                <w:sz w:val="18"/>
                <w:szCs w:val="18"/>
              </w:rPr>
            </w:pPr>
          </w:p>
        </w:tc>
      </w:tr>
      <w:tr w:rsidR="00743771" w:rsidRPr="009872F3" w14:paraId="712058A0" w14:textId="77777777" w:rsidTr="00BC19D0">
        <w:tc>
          <w:tcPr>
            <w:tcW w:w="5798" w:type="dxa"/>
            <w:gridSpan w:val="3"/>
          </w:tcPr>
          <w:p w14:paraId="1F3474AB" w14:textId="6DC1D05F" w:rsidR="00743771" w:rsidRPr="009872F3" w:rsidRDefault="00743771" w:rsidP="00BC19D0">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auf Ebene </w:t>
            </w:r>
            <w:r w:rsidRPr="002E5C20">
              <w:rPr>
                <w:rFonts w:ascii="Arial" w:hAnsi="Arial" w:cs="Arial"/>
                <w:sz w:val="18"/>
                <w:szCs w:val="18"/>
                <w:highlight w:val="yellow"/>
              </w:rPr>
              <w:t>de</w:t>
            </w:r>
            <w:r w:rsidR="00E70DF4" w:rsidRPr="002E5C20">
              <w:rPr>
                <w:rFonts w:ascii="Arial" w:hAnsi="Arial" w:cs="Arial"/>
                <w:sz w:val="18"/>
                <w:szCs w:val="18"/>
                <w:highlight w:val="yellow"/>
              </w:rPr>
              <w:t>r Bank / Gruppe</w:t>
            </w:r>
            <w:r>
              <w:rPr>
                <w:rFonts w:ascii="Arial" w:hAnsi="Arial" w:cs="Arial"/>
                <w:sz w:val="18"/>
                <w:szCs w:val="18"/>
              </w:rPr>
              <w:t xml:space="preserve"> bestehen</w:t>
            </w:r>
          </w:p>
        </w:tc>
        <w:tc>
          <w:tcPr>
            <w:tcW w:w="3382" w:type="dxa"/>
          </w:tcPr>
          <w:p w14:paraId="3A6C8B14" w14:textId="77777777" w:rsidR="00743771" w:rsidRPr="00E109DF" w:rsidRDefault="00743771"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49FE1D6B" w14:textId="77777777" w:rsidTr="00BC19D0">
        <w:tc>
          <w:tcPr>
            <w:tcW w:w="5798" w:type="dxa"/>
            <w:gridSpan w:val="3"/>
          </w:tcPr>
          <w:p w14:paraId="00F4F494" w14:textId="77777777" w:rsidR="00743771" w:rsidRPr="009872F3"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Mitarbeiter bestehen</w:t>
            </w:r>
          </w:p>
        </w:tc>
        <w:tc>
          <w:tcPr>
            <w:tcW w:w="3382" w:type="dxa"/>
          </w:tcPr>
          <w:p w14:paraId="50578E62"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5DFF49B" w14:textId="77777777" w:rsidTr="00743771">
        <w:trPr>
          <w:trHeight w:val="123"/>
        </w:trPr>
        <w:tc>
          <w:tcPr>
            <w:tcW w:w="5798" w:type="dxa"/>
            <w:gridSpan w:val="3"/>
          </w:tcPr>
          <w:p w14:paraId="34BB72AE"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den Verwaltungsrat bestehen</w:t>
            </w:r>
          </w:p>
        </w:tc>
        <w:tc>
          <w:tcPr>
            <w:tcW w:w="3382" w:type="dxa"/>
          </w:tcPr>
          <w:p w14:paraId="162B4AC4" w14:textId="77777777" w:rsidR="00743771" w:rsidRPr="009872F3" w:rsidRDefault="00743771"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0AD2A2CD" w14:textId="77777777" w:rsidTr="00BC19D0">
        <w:tc>
          <w:tcPr>
            <w:tcW w:w="5798" w:type="dxa"/>
            <w:gridSpan w:val="3"/>
          </w:tcPr>
          <w:p w14:paraId="4BB7A903" w14:textId="77777777" w:rsidR="00743771" w:rsidRDefault="00743771" w:rsidP="00743771">
            <w:pPr>
              <w:jc w:val="both"/>
              <w:rPr>
                <w:rFonts w:ascii="Arial" w:hAnsi="Arial" w:cs="Arial"/>
                <w:sz w:val="18"/>
                <w:szCs w:val="18"/>
              </w:rPr>
            </w:pPr>
            <w:r>
              <w:rPr>
                <w:rFonts w:ascii="Arial" w:hAnsi="Arial" w:cs="Arial"/>
                <w:sz w:val="18"/>
                <w:szCs w:val="18"/>
              </w:rPr>
              <w:t>Bestätigung, dass adäquate Richtlinien und Verfahren für den Umgang mit Interessenskonflikten für die Geschäftsleitung bestehen</w:t>
            </w:r>
          </w:p>
        </w:tc>
        <w:tc>
          <w:tcPr>
            <w:tcW w:w="3382" w:type="dxa"/>
          </w:tcPr>
          <w:p w14:paraId="5FDBB599"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A91CB1" w:rsidRPr="009872F3" w14:paraId="12D5DC23" w14:textId="77777777" w:rsidTr="00BC19D0">
        <w:tc>
          <w:tcPr>
            <w:tcW w:w="5798" w:type="dxa"/>
            <w:gridSpan w:val="3"/>
          </w:tcPr>
          <w:p w14:paraId="3670D8F6" w14:textId="5BCC9537" w:rsidR="00A91CB1" w:rsidRDefault="00A91CB1" w:rsidP="00BC19D0">
            <w:pPr>
              <w:jc w:val="both"/>
              <w:rPr>
                <w:rFonts w:ascii="Arial" w:hAnsi="Arial" w:cs="Arial"/>
                <w:sz w:val="18"/>
                <w:szCs w:val="18"/>
              </w:rPr>
            </w:pPr>
            <w:r>
              <w:rPr>
                <w:rFonts w:ascii="Arial" w:hAnsi="Arial" w:cs="Arial"/>
                <w:sz w:val="18"/>
                <w:szCs w:val="18"/>
              </w:rPr>
              <w:t>Bestätigung, dass adäquate Richtlinien und Verfahren für den Umgang mit Interessenskonflikten auf Aktionärs-Ebene bestehen</w:t>
            </w:r>
          </w:p>
        </w:tc>
        <w:tc>
          <w:tcPr>
            <w:tcW w:w="3382" w:type="dxa"/>
          </w:tcPr>
          <w:p w14:paraId="22402B9D" w14:textId="5FCFB4B2" w:rsidR="00A91CB1" w:rsidRPr="00E109DF" w:rsidRDefault="00A91CB1"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743771" w:rsidRPr="009872F3" w14:paraId="10D08D16" w14:textId="77777777" w:rsidTr="00BC19D0">
        <w:tc>
          <w:tcPr>
            <w:tcW w:w="5798" w:type="dxa"/>
            <w:gridSpan w:val="3"/>
          </w:tcPr>
          <w:p w14:paraId="4DBC3B62" w14:textId="3F63BE7A" w:rsidR="00743771" w:rsidRDefault="00743771" w:rsidP="00BC19D0">
            <w:pPr>
              <w:jc w:val="both"/>
              <w:rPr>
                <w:rFonts w:ascii="Arial" w:hAnsi="Arial" w:cs="Arial"/>
                <w:sz w:val="18"/>
                <w:szCs w:val="18"/>
              </w:rPr>
            </w:pPr>
            <w:r>
              <w:rPr>
                <w:rFonts w:ascii="Arial" w:hAnsi="Arial" w:cs="Arial"/>
                <w:sz w:val="18"/>
                <w:szCs w:val="18"/>
              </w:rPr>
              <w:t xml:space="preserve">Bestätigung, dass adäquate Richtlinien und Verfahren für den Umgang mit Interessenskonflikten für die nahestehende Personen </w:t>
            </w:r>
            <w:r w:rsidR="00D85688">
              <w:rPr>
                <w:rFonts w:ascii="Arial" w:hAnsi="Arial" w:cs="Arial"/>
                <w:sz w:val="18"/>
                <w:szCs w:val="18"/>
              </w:rPr>
              <w:t xml:space="preserve">der Organe </w:t>
            </w:r>
            <w:r w:rsidR="00D85688" w:rsidRPr="0073127F">
              <w:rPr>
                <w:rFonts w:ascii="Arial" w:hAnsi="Arial" w:cs="Arial"/>
                <w:sz w:val="18"/>
                <w:szCs w:val="18"/>
                <w:highlight w:val="yellow"/>
              </w:rPr>
              <w:t>der Bank / Gruppe</w:t>
            </w:r>
            <w:r w:rsidR="00D85688">
              <w:rPr>
                <w:rFonts w:ascii="Arial" w:hAnsi="Arial" w:cs="Arial"/>
                <w:sz w:val="18"/>
                <w:szCs w:val="18"/>
              </w:rPr>
              <w:t xml:space="preserve"> </w:t>
            </w:r>
            <w:r>
              <w:rPr>
                <w:rFonts w:ascii="Arial" w:hAnsi="Arial" w:cs="Arial"/>
                <w:sz w:val="18"/>
                <w:szCs w:val="18"/>
              </w:rPr>
              <w:t>bestehen</w:t>
            </w:r>
          </w:p>
        </w:tc>
        <w:tc>
          <w:tcPr>
            <w:tcW w:w="3382" w:type="dxa"/>
          </w:tcPr>
          <w:p w14:paraId="493EFF2F" w14:textId="77777777" w:rsidR="00743771" w:rsidRPr="00E109DF" w:rsidRDefault="00743771"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BC144C2"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743771" w:rsidRPr="00CE3194" w14:paraId="6CDC7732" w14:textId="77777777" w:rsidTr="00BC19D0">
        <w:tc>
          <w:tcPr>
            <w:tcW w:w="2660" w:type="dxa"/>
          </w:tcPr>
          <w:p w14:paraId="3077900F" w14:textId="77777777" w:rsidR="00743771" w:rsidRPr="00CE3194" w:rsidRDefault="00743771"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5DE5129" w14:textId="77777777" w:rsidR="00743771" w:rsidRPr="00CE3194" w:rsidRDefault="008A34FB"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743771" w:rsidRPr="00CE3194" w14:paraId="13FD7286" w14:textId="77777777" w:rsidTr="00BC19D0">
        <w:tc>
          <w:tcPr>
            <w:tcW w:w="2660" w:type="dxa"/>
          </w:tcPr>
          <w:p w14:paraId="60D5A92E"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Richtlinien und Verfahren für den Umgang mit Interessenskonflikten</w:t>
            </w:r>
          </w:p>
          <w:p w14:paraId="7FC838D3" w14:textId="708F32CC"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xml:space="preserve">- auf Ebene </w:t>
            </w:r>
            <w:r w:rsidR="00E70DF4">
              <w:rPr>
                <w:rFonts w:ascii="Arial" w:hAnsi="Arial" w:cs="Arial"/>
                <w:i/>
                <w:sz w:val="20"/>
                <w:szCs w:val="20"/>
                <w:highlight w:val="lightGray"/>
              </w:rPr>
              <w:t>Bank / Gruppe</w:t>
            </w:r>
          </w:p>
          <w:p w14:paraId="3F39052B"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Mitarbeiter</w:t>
            </w:r>
          </w:p>
          <w:p w14:paraId="098808AF" w14:textId="77777777"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den Verwaltungsrat</w:t>
            </w:r>
          </w:p>
          <w:p w14:paraId="42C1CEAE" w14:textId="3E53F97D" w:rsidR="00743771" w:rsidRDefault="00743771" w:rsidP="00BC19D0">
            <w:pPr>
              <w:jc w:val="both"/>
              <w:rPr>
                <w:rFonts w:ascii="Arial" w:hAnsi="Arial" w:cs="Arial"/>
                <w:i/>
                <w:sz w:val="20"/>
                <w:szCs w:val="20"/>
                <w:highlight w:val="lightGray"/>
              </w:rPr>
            </w:pPr>
            <w:r>
              <w:rPr>
                <w:rFonts w:ascii="Arial" w:hAnsi="Arial" w:cs="Arial"/>
                <w:i/>
                <w:sz w:val="20"/>
                <w:szCs w:val="20"/>
                <w:highlight w:val="lightGray"/>
              </w:rPr>
              <w:t>- für die Geschäftsleitung</w:t>
            </w:r>
          </w:p>
          <w:p w14:paraId="36970EAC" w14:textId="1156949D" w:rsidR="00A91CB1" w:rsidRDefault="00A91CB1" w:rsidP="00BC19D0">
            <w:pPr>
              <w:jc w:val="both"/>
              <w:rPr>
                <w:rFonts w:ascii="Arial" w:hAnsi="Arial" w:cs="Arial"/>
                <w:i/>
                <w:sz w:val="20"/>
                <w:szCs w:val="20"/>
                <w:highlight w:val="lightGray"/>
              </w:rPr>
            </w:pPr>
            <w:r>
              <w:rPr>
                <w:rFonts w:ascii="Arial" w:hAnsi="Arial" w:cs="Arial"/>
                <w:i/>
                <w:sz w:val="20"/>
                <w:szCs w:val="20"/>
                <w:highlight w:val="lightGray"/>
              </w:rPr>
              <w:t>- für die Aktionäre</w:t>
            </w:r>
          </w:p>
          <w:p w14:paraId="2022D064" w14:textId="77777777" w:rsidR="00743771" w:rsidRPr="00CE3194" w:rsidRDefault="00743771" w:rsidP="00BC19D0">
            <w:pPr>
              <w:jc w:val="both"/>
              <w:rPr>
                <w:rFonts w:ascii="Arial" w:hAnsi="Arial" w:cs="Arial"/>
                <w:i/>
                <w:sz w:val="20"/>
                <w:szCs w:val="20"/>
                <w:highlight w:val="lightGray"/>
              </w:rPr>
            </w:pPr>
            <w:r>
              <w:rPr>
                <w:rFonts w:ascii="Arial" w:hAnsi="Arial" w:cs="Arial"/>
                <w:i/>
                <w:sz w:val="20"/>
                <w:szCs w:val="20"/>
                <w:highlight w:val="lightGray"/>
              </w:rPr>
              <w:t>- für nahestehende Personen</w:t>
            </w:r>
          </w:p>
        </w:tc>
        <w:tc>
          <w:tcPr>
            <w:tcW w:w="6520" w:type="dxa"/>
          </w:tcPr>
          <w:p w14:paraId="72A1445F" w14:textId="5BEE74E3" w:rsidR="00743771" w:rsidRDefault="00743771"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eine klare und effektive Aufteilung von Verantwortlichkeiten und Kompetenzen</w:t>
            </w:r>
          </w:p>
          <w:p w14:paraId="66071110" w14:textId="3C8C2CA3" w:rsidR="00A91CB1" w:rsidRPr="009C1689" w:rsidRDefault="00A91CB1" w:rsidP="00743771">
            <w:pPr>
              <w:pStyle w:val="Listenabsatz"/>
              <w:numPr>
                <w:ilvl w:val="1"/>
                <w:numId w:val="17"/>
              </w:numPr>
              <w:ind w:left="317" w:hanging="283"/>
              <w:jc w:val="both"/>
              <w:rPr>
                <w:rFonts w:cs="Arial"/>
                <w:i/>
                <w:szCs w:val="20"/>
                <w:highlight w:val="lightGray"/>
              </w:rPr>
            </w:pPr>
            <w:r>
              <w:rPr>
                <w:rFonts w:cs="Arial"/>
                <w:i/>
                <w:szCs w:val="20"/>
                <w:highlight w:val="lightGray"/>
              </w:rPr>
              <w:t>Es besteht eine klare Trennung zwischen den Bereichen Markt und Marktfolge</w:t>
            </w:r>
          </w:p>
          <w:p w14:paraId="2FC8EB9F" w14:textId="5587168A" w:rsidR="00743771" w:rsidRPr="009C1689" w:rsidRDefault="00694776" w:rsidP="00743771">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bestehen interne Richtlinien, welche den Umgang mit Interessenskonflikten auf Ebene d</w:t>
            </w:r>
            <w:r w:rsidR="00E70DF4">
              <w:rPr>
                <w:rFonts w:cs="Arial"/>
                <w:i/>
                <w:szCs w:val="20"/>
                <w:highlight w:val="lightGray"/>
              </w:rPr>
              <w:t>er Bank / Gruppe</w:t>
            </w:r>
            <w:r w:rsidRPr="009C1689">
              <w:rPr>
                <w:rFonts w:cs="Arial"/>
                <w:i/>
                <w:szCs w:val="20"/>
                <w:highlight w:val="lightGray"/>
              </w:rPr>
              <w:t xml:space="preserve">, für Mitarbeiter, für den Verwaltungsrat, die Geschäftsleitung, </w:t>
            </w:r>
            <w:r w:rsidR="00A91CB1">
              <w:rPr>
                <w:rFonts w:cs="Arial"/>
                <w:i/>
                <w:szCs w:val="20"/>
                <w:highlight w:val="lightGray"/>
              </w:rPr>
              <w:t xml:space="preserve">die Aktionäre </w:t>
            </w:r>
            <w:r w:rsidRPr="009C1689">
              <w:rPr>
                <w:rFonts w:cs="Arial"/>
                <w:i/>
                <w:szCs w:val="20"/>
                <w:highlight w:val="lightGray"/>
              </w:rPr>
              <w:t xml:space="preserve">sowie </w:t>
            </w:r>
            <w:r w:rsidR="00E70DF4">
              <w:rPr>
                <w:rFonts w:cs="Arial"/>
                <w:i/>
                <w:szCs w:val="20"/>
                <w:highlight w:val="lightGray"/>
              </w:rPr>
              <w:t xml:space="preserve">für </w:t>
            </w:r>
            <w:r w:rsidRPr="009C1689">
              <w:rPr>
                <w:rFonts w:cs="Arial"/>
                <w:i/>
                <w:szCs w:val="20"/>
                <w:highlight w:val="lightGray"/>
              </w:rPr>
              <w:t>nahestehende Personen regeln</w:t>
            </w:r>
          </w:p>
          <w:p w14:paraId="4A03F705" w14:textId="3D340D91"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D</w:t>
            </w:r>
            <w:r w:rsidR="00E70DF4">
              <w:rPr>
                <w:rFonts w:cs="Arial"/>
                <w:i/>
                <w:szCs w:val="20"/>
                <w:highlight w:val="lightGray"/>
              </w:rPr>
              <w:t>ie</w:t>
            </w:r>
            <w:r w:rsidRPr="009C1689">
              <w:rPr>
                <w:rFonts w:cs="Arial"/>
                <w:i/>
                <w:szCs w:val="20"/>
                <w:highlight w:val="lightGray"/>
              </w:rPr>
              <w:t xml:space="preserve"> </w:t>
            </w:r>
            <w:r w:rsidR="00E70DF4">
              <w:rPr>
                <w:rFonts w:cs="Arial"/>
                <w:i/>
                <w:szCs w:val="20"/>
                <w:highlight w:val="lightGray"/>
              </w:rPr>
              <w:t>beaufsichtigte</w:t>
            </w:r>
            <w:r w:rsidR="004F737B">
              <w:rPr>
                <w:rFonts w:cs="Arial"/>
                <w:i/>
                <w:szCs w:val="20"/>
                <w:highlight w:val="lightGray"/>
              </w:rPr>
              <w:t xml:space="preserve"> Bank </w:t>
            </w:r>
            <w:r w:rsidR="004D5057">
              <w:rPr>
                <w:rFonts w:cs="Arial"/>
                <w:i/>
                <w:szCs w:val="20"/>
                <w:highlight w:val="lightGray"/>
              </w:rPr>
              <w:t>/ bzw. die Gruppe</w:t>
            </w:r>
            <w:r w:rsidRPr="009C1689">
              <w:rPr>
                <w:rFonts w:cs="Arial"/>
                <w:i/>
                <w:szCs w:val="20"/>
                <w:highlight w:val="lightGray"/>
              </w:rPr>
              <w:t xml:space="preserve"> hat Massnahmen zur Steuerung oder Minderung von Interessenskonflikten auf institutioneller Ebene implementiert (z.B. Aufgabentrennung, Einrichtung von Informationssperren; Festlegung geeigneter Verfahren für Transaktionen mit verbundenen Parteien etc.), welche dokumentiert sind</w:t>
            </w:r>
          </w:p>
          <w:p w14:paraId="152866DE"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lastRenderedPageBreak/>
              <w:t>Es besteht ein angemessenes Meldeverfahren für Interessenskonflikte z.B. für Beziehungen von Mitarbeitenden aus der Vergangenheit</w:t>
            </w:r>
          </w:p>
          <w:p w14:paraId="49FF0347" w14:textId="77777777" w:rsidR="00694776" w:rsidRPr="009C1689" w:rsidRDefault="00694776" w:rsidP="00694776">
            <w:pPr>
              <w:pStyle w:val="Listenabsatz"/>
              <w:numPr>
                <w:ilvl w:val="1"/>
                <w:numId w:val="17"/>
              </w:numPr>
              <w:ind w:left="317" w:hanging="283"/>
              <w:jc w:val="both"/>
              <w:rPr>
                <w:rFonts w:cs="Arial"/>
                <w:i/>
                <w:szCs w:val="20"/>
                <w:highlight w:val="lightGray"/>
              </w:rPr>
            </w:pPr>
            <w:r w:rsidRPr="009C1689">
              <w:rPr>
                <w:rFonts w:cs="Arial"/>
                <w:i/>
                <w:szCs w:val="20"/>
                <w:highlight w:val="lightGray"/>
              </w:rPr>
              <w:t>Es besteht ein Bewertungsverfahren von tatsächlichen und potenziellen Interessenskonflikten und ein Dokumentationsverfahren über die Entscheidung, wie mit den festgestellten Interessenskonflikten umgegangen wird</w:t>
            </w:r>
          </w:p>
          <w:p w14:paraId="572D9036" w14:textId="77777777" w:rsidR="00694776" w:rsidRPr="009C1689" w:rsidRDefault="009C1689" w:rsidP="009C1689">
            <w:pPr>
              <w:pStyle w:val="Listenabsatz"/>
              <w:numPr>
                <w:ilvl w:val="1"/>
                <w:numId w:val="17"/>
              </w:numPr>
              <w:ind w:left="317" w:hanging="283"/>
              <w:jc w:val="both"/>
              <w:rPr>
                <w:rFonts w:cs="Arial"/>
                <w:i/>
                <w:szCs w:val="20"/>
                <w:highlight w:val="lightGray"/>
              </w:rPr>
            </w:pPr>
            <w:r w:rsidRPr="009C1689">
              <w:rPr>
                <w:rFonts w:cs="Arial"/>
                <w:i/>
                <w:szCs w:val="20"/>
                <w:highlight w:val="lightGray"/>
              </w:rPr>
              <w:t xml:space="preserve">Es besteht eine angemessene interne Berichterstattung und Kommunikation über identifizierte Interessenskonflikte </w:t>
            </w:r>
          </w:p>
          <w:p w14:paraId="0A024428" w14:textId="77777777" w:rsidR="00743771" w:rsidRPr="00CE3194" w:rsidRDefault="00743771" w:rsidP="00743771">
            <w:pPr>
              <w:pStyle w:val="Listenabsatz"/>
              <w:ind w:left="34"/>
              <w:jc w:val="both"/>
              <w:rPr>
                <w:rFonts w:cs="Arial"/>
                <w:i/>
                <w:szCs w:val="20"/>
                <w:highlight w:val="lightGray"/>
              </w:rPr>
            </w:pPr>
          </w:p>
        </w:tc>
      </w:tr>
    </w:tbl>
    <w:p w14:paraId="7D1F36CC" w14:textId="77777777" w:rsidR="00743771" w:rsidRDefault="00743771" w:rsidP="00743771">
      <w:pPr>
        <w:jc w:val="both"/>
      </w:pPr>
    </w:p>
    <w:p w14:paraId="31863230" w14:textId="32EFABE4" w:rsidR="000C3F1F" w:rsidRPr="00764E6A" w:rsidRDefault="000C3F1F" w:rsidP="006E1DCF">
      <w:pPr>
        <w:jc w:val="both"/>
        <w:rPr>
          <w:rFonts w:ascii="Arial" w:hAnsi="Arial" w:cs="Arial"/>
          <w:i/>
          <w:sz w:val="20"/>
          <w:szCs w:val="20"/>
        </w:rPr>
      </w:pPr>
      <w:r w:rsidRPr="00CB3EE6">
        <w:rPr>
          <w:rFonts w:ascii="Arial" w:hAnsi="Arial" w:cs="Arial"/>
          <w:i/>
          <w:sz w:val="20"/>
          <w:szCs w:val="20"/>
          <w:highlight w:val="lightGray"/>
        </w:rPr>
        <w:t xml:space="preserve">Als nahestehende Personen gelten </w:t>
      </w:r>
      <w:r w:rsidR="00DE7FD2" w:rsidRPr="00CB3EE6">
        <w:rPr>
          <w:rFonts w:ascii="Arial" w:hAnsi="Arial" w:cs="Arial"/>
          <w:i/>
          <w:sz w:val="20"/>
          <w:szCs w:val="20"/>
          <w:highlight w:val="lightGray"/>
        </w:rPr>
        <w:t xml:space="preserve">insbesondere </w:t>
      </w:r>
      <w:r w:rsidRPr="00CB3EE6">
        <w:rPr>
          <w:rFonts w:ascii="Arial" w:hAnsi="Arial" w:cs="Arial"/>
          <w:i/>
          <w:sz w:val="20"/>
          <w:szCs w:val="20"/>
          <w:highlight w:val="lightGray"/>
        </w:rPr>
        <w:t xml:space="preserve">die in Art. </w:t>
      </w:r>
      <w:r w:rsidR="00CA7372">
        <w:rPr>
          <w:rFonts w:ascii="Arial" w:hAnsi="Arial" w:cs="Arial"/>
          <w:i/>
          <w:sz w:val="20"/>
          <w:szCs w:val="20"/>
          <w:highlight w:val="lightGray"/>
        </w:rPr>
        <w:t>72</w:t>
      </w:r>
      <w:r w:rsidRPr="00CB3EE6">
        <w:rPr>
          <w:rFonts w:ascii="Arial" w:hAnsi="Arial" w:cs="Arial"/>
          <w:i/>
          <w:sz w:val="20"/>
          <w:szCs w:val="20"/>
          <w:highlight w:val="lightGray"/>
        </w:rPr>
        <w:t xml:space="preserve"> BankG genannten Personen.</w:t>
      </w:r>
    </w:p>
    <w:p w14:paraId="04401B81" w14:textId="091464DC" w:rsidR="00EE5944" w:rsidRDefault="00EE5944" w:rsidP="006E1DCF">
      <w:pPr>
        <w:jc w:val="both"/>
      </w:pPr>
    </w:p>
    <w:p w14:paraId="316EF75C" w14:textId="77777777" w:rsidR="00845076" w:rsidRDefault="00845076" w:rsidP="006E1DCF">
      <w:pPr>
        <w:jc w:val="both"/>
      </w:pPr>
    </w:p>
    <w:p w14:paraId="2A6BE2F4" w14:textId="77777777" w:rsidR="00EE5944" w:rsidRPr="00CB3EE6" w:rsidRDefault="00EE5944" w:rsidP="006E1DCF">
      <w:pPr>
        <w:jc w:val="both"/>
        <w:rPr>
          <w:rFonts w:ascii="Arial" w:hAnsi="Arial" w:cs="Arial"/>
          <w:i/>
          <w:sz w:val="20"/>
          <w:szCs w:val="20"/>
        </w:rPr>
      </w:pPr>
      <w:r w:rsidRPr="00CB3EE6">
        <w:rPr>
          <w:rFonts w:ascii="Arial" w:hAnsi="Arial" w:cs="Arial"/>
          <w:i/>
          <w:sz w:val="20"/>
          <w:szCs w:val="20"/>
          <w:highlight w:val="yellow"/>
        </w:rPr>
        <w:t>Text</w:t>
      </w:r>
    </w:p>
    <w:p w14:paraId="07EE823C" w14:textId="77777777" w:rsidR="00EE5944" w:rsidRDefault="00EE5944" w:rsidP="006E1DCF">
      <w:pPr>
        <w:jc w:val="both"/>
      </w:pPr>
    </w:p>
    <w:p w14:paraId="6406F83C" w14:textId="77777777" w:rsidR="006E1DCF" w:rsidRDefault="006E1DCF" w:rsidP="006E1DCF">
      <w:pPr>
        <w:jc w:val="both"/>
      </w:pPr>
    </w:p>
    <w:p w14:paraId="7A6DF7BA" w14:textId="77777777" w:rsidR="00743771" w:rsidRDefault="008C30D1" w:rsidP="006F7AB5">
      <w:pPr>
        <w:pStyle w:val="FINMAGliederungEbene3"/>
      </w:pPr>
      <w:bookmarkStart w:id="59" w:name="_Toc216425808"/>
      <w:r>
        <w:t>Interne Kontrollfunktion: Risikomanagementfunktion</w:t>
      </w:r>
      <w:r w:rsidR="00543DCA">
        <w:t xml:space="preserve"> </w:t>
      </w:r>
      <w:r w:rsidR="0003063F">
        <w:t xml:space="preserve">und Risikomanagement-Rahmenwerk </w:t>
      </w:r>
      <w:r w:rsidR="00543DCA">
        <w:t>(GOV-4)</w:t>
      </w:r>
      <w:bookmarkEnd w:id="59"/>
    </w:p>
    <w:p w14:paraId="67C583EB" w14:textId="77777777" w:rsidR="00743771" w:rsidRDefault="00743771" w:rsidP="00743771">
      <w:pPr>
        <w:jc w:val="both"/>
      </w:pPr>
    </w:p>
    <w:tbl>
      <w:tblPr>
        <w:tblStyle w:val="Tabellenraster"/>
        <w:tblW w:w="0" w:type="auto"/>
        <w:tblLook w:val="04A0" w:firstRow="1" w:lastRow="0" w:firstColumn="1" w:lastColumn="0" w:noHBand="0" w:noVBand="1"/>
      </w:tblPr>
      <w:tblGrid>
        <w:gridCol w:w="1932"/>
        <w:gridCol w:w="2145"/>
        <w:gridCol w:w="1721"/>
        <w:gridCol w:w="3382"/>
      </w:tblGrid>
      <w:tr w:rsidR="006E1DCF" w:rsidRPr="009872F3" w14:paraId="46A55D35" w14:textId="77777777" w:rsidTr="00BC19D0">
        <w:trPr>
          <w:trHeight w:val="563"/>
        </w:trPr>
        <w:tc>
          <w:tcPr>
            <w:tcW w:w="1932" w:type="dxa"/>
          </w:tcPr>
          <w:p w14:paraId="1F62B733"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91AD76D"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C73769"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E1DCF" w:rsidRPr="009872F3" w14:paraId="6FFD8FE2" w14:textId="77777777" w:rsidTr="00BC19D0">
        <w:trPr>
          <w:trHeight w:val="698"/>
        </w:trPr>
        <w:tc>
          <w:tcPr>
            <w:tcW w:w="1932" w:type="dxa"/>
          </w:tcPr>
          <w:p w14:paraId="50F59E95" w14:textId="64121138"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79D19C48" w14:textId="77777777" w:rsidR="006E1DCF" w:rsidRPr="006749F0" w:rsidRDefault="006E1DCF"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79657468" w14:textId="77777777" w:rsidR="006E1DCF" w:rsidRPr="009872F3" w:rsidRDefault="006E1DCF"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42FBC88" w14:textId="77777777" w:rsidR="006E1DCF" w:rsidRDefault="006E1DCF"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66085E5" w14:textId="77777777" w:rsidR="006E1DCF" w:rsidRPr="006749F0" w:rsidRDefault="006E1DCF" w:rsidP="00BC19D0">
            <w:pPr>
              <w:jc w:val="both"/>
              <w:rPr>
                <w:rFonts w:ascii="Arial" w:hAnsi="Arial" w:cs="Arial"/>
                <w:i/>
                <w:sz w:val="18"/>
                <w:szCs w:val="18"/>
              </w:rPr>
            </w:pPr>
            <w:r w:rsidRPr="006749F0">
              <w:rPr>
                <w:rFonts w:ascii="Arial" w:hAnsi="Arial" w:cs="Arial"/>
                <w:i/>
                <w:sz w:val="18"/>
                <w:szCs w:val="18"/>
                <w:highlight w:val="yellow"/>
              </w:rPr>
              <w:t>Jahr</w:t>
            </w:r>
          </w:p>
        </w:tc>
      </w:tr>
      <w:tr w:rsidR="006E1DCF" w:rsidRPr="00DE2BE3" w14:paraId="1AF603C7" w14:textId="77777777" w:rsidTr="00BC19D0">
        <w:trPr>
          <w:trHeight w:val="636"/>
        </w:trPr>
        <w:tc>
          <w:tcPr>
            <w:tcW w:w="9180" w:type="dxa"/>
            <w:gridSpan w:val="4"/>
          </w:tcPr>
          <w:p w14:paraId="6D85CE4E" w14:textId="77777777" w:rsidR="006E1DCF" w:rsidRDefault="006E1DCF" w:rsidP="00BC19D0">
            <w:pPr>
              <w:jc w:val="both"/>
              <w:rPr>
                <w:rFonts w:ascii="Arial" w:hAnsi="Arial" w:cs="Arial"/>
                <w:sz w:val="18"/>
                <w:szCs w:val="18"/>
              </w:rPr>
            </w:pPr>
          </w:p>
          <w:p w14:paraId="41487442" w14:textId="77777777" w:rsidR="006E1DCF" w:rsidRPr="00F60909" w:rsidRDefault="006E1DCF"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3A0CD70" w14:textId="72BE1580" w:rsidR="006E1DCF" w:rsidRPr="00644F7F" w:rsidRDefault="006E1DCF" w:rsidP="00BC19D0">
            <w:pPr>
              <w:jc w:val="both"/>
              <w:rPr>
                <w:rFonts w:ascii="Arial" w:hAnsi="Arial" w:cs="Arial"/>
                <w:sz w:val="18"/>
                <w:szCs w:val="18"/>
              </w:rPr>
            </w:pPr>
            <w:r w:rsidRPr="00CF66E4">
              <w:rPr>
                <w:rFonts w:ascii="Arial" w:hAnsi="Arial" w:cs="Arial"/>
                <w:sz w:val="18"/>
                <w:szCs w:val="18"/>
                <w:highlight w:val="yellow"/>
              </w:rPr>
              <w:t>Art. 7</w:t>
            </w:r>
            <w:r w:rsidR="0019582D" w:rsidRPr="00644F7F">
              <w:rPr>
                <w:rFonts w:ascii="Arial" w:hAnsi="Arial" w:cs="Arial"/>
                <w:sz w:val="18"/>
                <w:szCs w:val="18"/>
                <w:highlight w:val="yellow"/>
              </w:rPr>
              <w:t>3</w:t>
            </w:r>
            <w:r w:rsidRPr="00644F7F">
              <w:rPr>
                <w:rFonts w:ascii="Arial" w:hAnsi="Arial" w:cs="Arial"/>
                <w:sz w:val="18"/>
                <w:szCs w:val="18"/>
                <w:highlight w:val="yellow"/>
              </w:rPr>
              <w:t xml:space="preserve"> BankG, Art. </w:t>
            </w:r>
            <w:r w:rsidR="001256E3" w:rsidRPr="00A938AE">
              <w:rPr>
                <w:rFonts w:ascii="Arial" w:hAnsi="Arial" w:cs="Arial"/>
                <w:sz w:val="18"/>
                <w:szCs w:val="18"/>
                <w:highlight w:val="yellow"/>
              </w:rPr>
              <w:t xml:space="preserve">12 </w:t>
            </w:r>
            <w:r w:rsidRPr="00CF66E4">
              <w:rPr>
                <w:rFonts w:ascii="Arial" w:hAnsi="Arial" w:cs="Arial"/>
                <w:sz w:val="18"/>
                <w:szCs w:val="18"/>
                <w:highlight w:val="yellow"/>
              </w:rPr>
              <w:t xml:space="preserve">BankV; </w:t>
            </w:r>
            <w:r w:rsidR="00E667CF" w:rsidRPr="00644F7F">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r w:rsidR="009E273B" w:rsidRPr="00CF66E4">
              <w:rPr>
                <w:rFonts w:ascii="Arial" w:hAnsi="Arial" w:cs="Arial"/>
                <w:sz w:val="18"/>
                <w:szCs w:val="18"/>
                <w:highlight w:val="yellow"/>
              </w:rPr>
              <w:t xml:space="preserve">; </w:t>
            </w:r>
          </w:p>
        </w:tc>
      </w:tr>
      <w:tr w:rsidR="006E1DCF" w:rsidRPr="00DE2BE3" w14:paraId="52EAB587" w14:textId="77777777" w:rsidTr="00BC19D0">
        <w:trPr>
          <w:trHeight w:val="294"/>
        </w:trPr>
        <w:tc>
          <w:tcPr>
            <w:tcW w:w="9180" w:type="dxa"/>
            <w:gridSpan w:val="4"/>
          </w:tcPr>
          <w:p w14:paraId="6AFBA4B5" w14:textId="77777777" w:rsidR="006E1DCF" w:rsidRPr="00CF66E4" w:rsidRDefault="006E1DCF" w:rsidP="00BC19D0">
            <w:pPr>
              <w:jc w:val="both"/>
              <w:rPr>
                <w:rFonts w:ascii="Arial" w:hAnsi="Arial" w:cs="Arial"/>
                <w:sz w:val="18"/>
                <w:szCs w:val="18"/>
              </w:rPr>
            </w:pPr>
          </w:p>
        </w:tc>
      </w:tr>
      <w:tr w:rsidR="006E1DCF" w:rsidRPr="009872F3" w14:paraId="658BBBA4" w14:textId="77777777" w:rsidTr="00BC19D0">
        <w:tc>
          <w:tcPr>
            <w:tcW w:w="5798" w:type="dxa"/>
            <w:gridSpan w:val="3"/>
          </w:tcPr>
          <w:p w14:paraId="1142ECF7" w14:textId="55E3FF43" w:rsidR="006E1DCF" w:rsidRPr="009872F3" w:rsidRDefault="006E1DCF" w:rsidP="00D85688">
            <w:pPr>
              <w:jc w:val="both"/>
              <w:rPr>
                <w:rFonts w:ascii="Arial" w:hAnsi="Arial" w:cs="Arial"/>
                <w:sz w:val="18"/>
                <w:szCs w:val="18"/>
              </w:rPr>
            </w:pPr>
            <w:r>
              <w:rPr>
                <w:rFonts w:ascii="Arial" w:hAnsi="Arial" w:cs="Arial"/>
                <w:sz w:val="18"/>
                <w:szCs w:val="18"/>
              </w:rPr>
              <w:t xml:space="preserve">Bestätigung, dass die </w:t>
            </w:r>
            <w:r w:rsidR="00AF63C5">
              <w:rPr>
                <w:rFonts w:ascii="Arial" w:hAnsi="Arial" w:cs="Arial"/>
                <w:sz w:val="18"/>
                <w:szCs w:val="18"/>
              </w:rPr>
              <w:t xml:space="preserve">organisatorische Anordnung </w:t>
            </w:r>
            <w:r w:rsidR="00D85688">
              <w:rPr>
                <w:rFonts w:ascii="Arial" w:hAnsi="Arial" w:cs="Arial"/>
                <w:sz w:val="18"/>
                <w:szCs w:val="18"/>
              </w:rPr>
              <w:t xml:space="preserve">der </w:t>
            </w:r>
            <w:r w:rsidR="00D85688" w:rsidRPr="00D85688">
              <w:rPr>
                <w:rFonts w:ascii="Arial" w:hAnsi="Arial" w:cs="Arial"/>
                <w:sz w:val="18"/>
                <w:szCs w:val="18"/>
              </w:rPr>
              <w:t>Risikomanagementfunktion</w:t>
            </w:r>
            <w:r w:rsidR="00AF63C5">
              <w:rPr>
                <w:rFonts w:ascii="Arial" w:hAnsi="Arial" w:cs="Arial"/>
                <w:sz w:val="18"/>
                <w:szCs w:val="18"/>
              </w:rPr>
              <w:t xml:space="preserve"> und das Entschädigungssystem</w:t>
            </w:r>
            <w:r w:rsidR="00D85688">
              <w:rPr>
                <w:rFonts w:ascii="Arial" w:hAnsi="Arial" w:cs="Arial"/>
                <w:sz w:val="18"/>
                <w:szCs w:val="18"/>
              </w:rPr>
              <w:t xml:space="preserve"> dieser</w:t>
            </w:r>
            <w:r w:rsidR="00AF63C5">
              <w:rPr>
                <w:rFonts w:ascii="Arial" w:hAnsi="Arial" w:cs="Arial"/>
                <w:sz w:val="18"/>
                <w:szCs w:val="18"/>
              </w:rPr>
              <w:t xml:space="preserve"> keine Zielkonflikte herbeiführen und </w:t>
            </w:r>
            <w:r w:rsidR="00D85688">
              <w:rPr>
                <w:rFonts w:ascii="Arial" w:hAnsi="Arial" w:cs="Arial"/>
                <w:sz w:val="18"/>
                <w:szCs w:val="18"/>
              </w:rPr>
              <w:t xml:space="preserve">deren </w:t>
            </w:r>
            <w:r w:rsidR="00AF63C5">
              <w:rPr>
                <w:rFonts w:ascii="Arial" w:hAnsi="Arial" w:cs="Arial"/>
                <w:sz w:val="18"/>
                <w:szCs w:val="18"/>
              </w:rPr>
              <w:t>Unabhängigkeit nicht negativ beeinflussen</w:t>
            </w:r>
          </w:p>
        </w:tc>
        <w:tc>
          <w:tcPr>
            <w:tcW w:w="3382" w:type="dxa"/>
          </w:tcPr>
          <w:p w14:paraId="4F8968F1" w14:textId="77777777" w:rsidR="006E1DCF" w:rsidRPr="00E109DF" w:rsidRDefault="006E1DCF"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49F26E6A" w14:textId="77777777" w:rsidTr="00BC19D0">
        <w:tc>
          <w:tcPr>
            <w:tcW w:w="5798" w:type="dxa"/>
            <w:gridSpan w:val="3"/>
          </w:tcPr>
          <w:p w14:paraId="3CAA7777" w14:textId="77777777" w:rsidR="006E1DCF" w:rsidRPr="009872F3" w:rsidRDefault="00AF63C5" w:rsidP="006E1DCF">
            <w:pPr>
              <w:jc w:val="both"/>
              <w:rPr>
                <w:rFonts w:ascii="Arial" w:hAnsi="Arial" w:cs="Arial"/>
                <w:sz w:val="18"/>
                <w:szCs w:val="18"/>
              </w:rPr>
            </w:pPr>
            <w:r>
              <w:rPr>
                <w:rFonts w:ascii="Arial" w:hAnsi="Arial" w:cs="Arial"/>
                <w:sz w:val="18"/>
                <w:szCs w:val="18"/>
              </w:rPr>
              <w:t>Bestätigung, dass die</w:t>
            </w:r>
            <w:r w:rsidR="006E1DCF">
              <w:rPr>
                <w:rFonts w:ascii="Arial" w:hAnsi="Arial" w:cs="Arial"/>
                <w:sz w:val="18"/>
                <w:szCs w:val="18"/>
              </w:rPr>
              <w:t xml:space="preserve"> Verantwortlichkeiten und Kompetenzen der Risikomanagementfunktion angemessen ausgestaltet sind</w:t>
            </w:r>
          </w:p>
        </w:tc>
        <w:tc>
          <w:tcPr>
            <w:tcW w:w="3382" w:type="dxa"/>
          </w:tcPr>
          <w:p w14:paraId="72B5F7DB"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136D4539" w14:textId="77777777" w:rsidTr="00BC19D0">
        <w:trPr>
          <w:trHeight w:val="123"/>
        </w:trPr>
        <w:tc>
          <w:tcPr>
            <w:tcW w:w="5798" w:type="dxa"/>
            <w:gridSpan w:val="3"/>
          </w:tcPr>
          <w:p w14:paraId="7482BB09" w14:textId="77777777" w:rsidR="006E1DCF" w:rsidRDefault="006E1DCF"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64E4300" w14:textId="77777777" w:rsidR="006E1DCF" w:rsidRPr="009872F3" w:rsidRDefault="006E1DCF"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6E1DCF" w:rsidRPr="009872F3" w14:paraId="5BC15EF3" w14:textId="77777777" w:rsidTr="00BC19D0">
        <w:tc>
          <w:tcPr>
            <w:tcW w:w="5798" w:type="dxa"/>
            <w:gridSpan w:val="3"/>
          </w:tcPr>
          <w:p w14:paraId="62055699" w14:textId="77777777" w:rsidR="006E1DCF" w:rsidRDefault="00AF63C5"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01D822F2" w14:textId="77777777" w:rsidR="006E1DCF" w:rsidRPr="00E109DF" w:rsidRDefault="006E1DC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650A" w:rsidRPr="009872F3" w14:paraId="465D1F8D" w14:textId="77777777" w:rsidTr="0036650A">
        <w:tc>
          <w:tcPr>
            <w:tcW w:w="5798" w:type="dxa"/>
            <w:gridSpan w:val="3"/>
          </w:tcPr>
          <w:p w14:paraId="24648399" w14:textId="77777777" w:rsidR="0036650A" w:rsidRDefault="0036650A" w:rsidP="0036650A">
            <w:pPr>
              <w:jc w:val="both"/>
              <w:rPr>
                <w:rFonts w:ascii="Arial" w:hAnsi="Arial" w:cs="Arial"/>
                <w:sz w:val="18"/>
                <w:szCs w:val="18"/>
              </w:rPr>
            </w:pPr>
            <w:r>
              <w:rPr>
                <w:rFonts w:ascii="Arial" w:hAnsi="Arial" w:cs="Arial"/>
                <w:sz w:val="18"/>
                <w:szCs w:val="18"/>
              </w:rPr>
              <w:t>Bestätigung, dass die Verantwortlichen der Risikomanagementfunktion sich fortlaufend fachlich adäquat weiterbilden</w:t>
            </w:r>
          </w:p>
        </w:tc>
        <w:tc>
          <w:tcPr>
            <w:tcW w:w="3382" w:type="dxa"/>
          </w:tcPr>
          <w:p w14:paraId="3F193D9A" w14:textId="77777777" w:rsidR="0036650A" w:rsidRPr="00E109DF" w:rsidRDefault="0036650A" w:rsidP="0036650A">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3063F" w:rsidRPr="009872F3" w14:paraId="25575D67" w14:textId="77777777" w:rsidTr="00BC19D0">
        <w:tc>
          <w:tcPr>
            <w:tcW w:w="5798" w:type="dxa"/>
            <w:gridSpan w:val="3"/>
          </w:tcPr>
          <w:p w14:paraId="7D903F8F" w14:textId="09950155" w:rsidR="0003063F" w:rsidRDefault="0003063F" w:rsidP="003E2995">
            <w:pPr>
              <w:jc w:val="both"/>
              <w:rPr>
                <w:rFonts w:ascii="Arial" w:hAnsi="Arial" w:cs="Arial"/>
                <w:sz w:val="18"/>
                <w:szCs w:val="18"/>
              </w:rPr>
            </w:pPr>
            <w:r>
              <w:rPr>
                <w:rFonts w:ascii="Arial" w:hAnsi="Arial" w:cs="Arial"/>
                <w:sz w:val="18"/>
                <w:szCs w:val="18"/>
              </w:rPr>
              <w:t>Bestätigung, dass das Risikomanagement-Rahmenwerk (inkl. ICAAP und ILAAP - Rahmenwerk) unter Berücksichtigung des Proportionalitätsgrundsatzes angemessen ausgestaltet ist.</w:t>
            </w:r>
          </w:p>
        </w:tc>
        <w:tc>
          <w:tcPr>
            <w:tcW w:w="3382" w:type="dxa"/>
          </w:tcPr>
          <w:p w14:paraId="21E33AE6" w14:textId="77777777" w:rsidR="0003063F" w:rsidRPr="00E109DF" w:rsidRDefault="0003063F"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3A6F5B6" w14:textId="77777777" w:rsidR="00743771" w:rsidRDefault="00743771" w:rsidP="00743771">
      <w:pPr>
        <w:jc w:val="both"/>
      </w:pPr>
    </w:p>
    <w:tbl>
      <w:tblPr>
        <w:tblStyle w:val="Tabellenraster"/>
        <w:tblW w:w="0" w:type="auto"/>
        <w:tblLook w:val="04A0" w:firstRow="1" w:lastRow="0" w:firstColumn="1" w:lastColumn="0" w:noHBand="0" w:noVBand="1"/>
      </w:tblPr>
      <w:tblGrid>
        <w:gridCol w:w="2660"/>
        <w:gridCol w:w="6520"/>
      </w:tblGrid>
      <w:tr w:rsidR="006E1DCF" w:rsidRPr="00CE3194" w14:paraId="4A86C9A3" w14:textId="77777777" w:rsidTr="00BC19D0">
        <w:tc>
          <w:tcPr>
            <w:tcW w:w="2660" w:type="dxa"/>
          </w:tcPr>
          <w:p w14:paraId="572D10EC" w14:textId="77777777" w:rsidR="006E1DCF" w:rsidRPr="00CE3194" w:rsidRDefault="006E1DCF"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6EF0459" w14:textId="77777777" w:rsidR="006E1DCF" w:rsidRPr="00CE3194" w:rsidRDefault="008F13CA"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6E1DCF" w:rsidRPr="00CE3194" w14:paraId="3EA40700" w14:textId="77777777" w:rsidTr="00BC19D0">
        <w:tc>
          <w:tcPr>
            <w:tcW w:w="2660" w:type="dxa"/>
          </w:tcPr>
          <w:p w14:paraId="2FF23D12" w14:textId="77777777" w:rsidR="006E1DCF" w:rsidRPr="00CE3194" w:rsidRDefault="006E1DCF" w:rsidP="00BC19D0">
            <w:pPr>
              <w:jc w:val="both"/>
              <w:rPr>
                <w:rFonts w:ascii="Arial" w:hAnsi="Arial" w:cs="Arial"/>
                <w:i/>
                <w:sz w:val="20"/>
                <w:szCs w:val="20"/>
                <w:highlight w:val="lightGray"/>
              </w:rPr>
            </w:pPr>
            <w:r>
              <w:rPr>
                <w:rFonts w:ascii="Arial" w:hAnsi="Arial" w:cs="Arial"/>
                <w:i/>
                <w:sz w:val="20"/>
                <w:szCs w:val="20"/>
                <w:highlight w:val="lightGray"/>
              </w:rPr>
              <w:t>Ausgestaltung der Risikomanagementfunktion inkl. Richtlinie Risikomanagement</w:t>
            </w:r>
          </w:p>
        </w:tc>
        <w:tc>
          <w:tcPr>
            <w:tcW w:w="6520" w:type="dxa"/>
          </w:tcPr>
          <w:p w14:paraId="7B1DA09F" w14:textId="34732700"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Risikomanagementfunktion ist unabhängig ausgestaltet</w:t>
            </w:r>
            <w:r w:rsidR="00AF63C5">
              <w:rPr>
                <w:rFonts w:cs="Arial"/>
                <w:i/>
                <w:szCs w:val="20"/>
                <w:highlight w:val="lightGray"/>
              </w:rPr>
              <w:t>, u.a. unter Analyse des Entschädigungssystem</w:t>
            </w:r>
          </w:p>
          <w:p w14:paraId="40ABF1CF" w14:textId="08D388F9" w:rsidR="00CC50CB" w:rsidRDefault="001F4100" w:rsidP="006E1DCF">
            <w:pPr>
              <w:pStyle w:val="Listenabsatz"/>
              <w:numPr>
                <w:ilvl w:val="1"/>
                <w:numId w:val="17"/>
              </w:numPr>
              <w:ind w:left="317" w:hanging="283"/>
              <w:jc w:val="both"/>
              <w:rPr>
                <w:rFonts w:cs="Arial"/>
                <w:i/>
                <w:szCs w:val="20"/>
                <w:highlight w:val="lightGray"/>
              </w:rPr>
            </w:pPr>
            <w:r>
              <w:rPr>
                <w:rFonts w:cs="Arial"/>
                <w:i/>
                <w:szCs w:val="20"/>
                <w:highlight w:val="lightGray"/>
              </w:rPr>
              <w:t xml:space="preserve">Die Risikomanagement-Funktion ist aufbauorganisatorisch bis einschliesslich der Ebene der Geschäftsleitung von den Bereichen zu trennen, die für die Anbahnung bzw. den Abschluss von Geschäften zuständig </w:t>
            </w:r>
            <w:r w:rsidRPr="0099798B">
              <w:rPr>
                <w:rFonts w:cs="Arial"/>
                <w:i/>
                <w:szCs w:val="20"/>
                <w:highlight w:val="lightGray"/>
              </w:rPr>
              <w:t>ist (vgl. Art. 12 BankV, Art. 73 BankG)</w:t>
            </w:r>
          </w:p>
          <w:p w14:paraId="3AA7DFBC"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553EFF65" w14:textId="5B14339E"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Risikomanagemen</w:t>
            </w:r>
            <w:r w:rsidR="008F0E6F">
              <w:rPr>
                <w:rFonts w:cs="Arial"/>
                <w:i/>
                <w:szCs w:val="20"/>
                <w:highlight w:val="lightGray"/>
              </w:rPr>
              <w:t>t</w:t>
            </w:r>
            <w:r>
              <w:rPr>
                <w:rFonts w:cs="Arial"/>
                <w:i/>
                <w:szCs w:val="20"/>
                <w:highlight w:val="lightGray"/>
              </w:rPr>
              <w:t>funktion ist ressourcentechnisch (personell</w:t>
            </w:r>
            <w:r w:rsidR="00EE5944">
              <w:rPr>
                <w:rFonts w:cs="Arial"/>
                <w:i/>
                <w:szCs w:val="20"/>
                <w:highlight w:val="lightGray"/>
              </w:rPr>
              <w:t>e</w:t>
            </w:r>
            <w:r>
              <w:rPr>
                <w:rFonts w:cs="Arial"/>
                <w:i/>
                <w:szCs w:val="20"/>
                <w:highlight w:val="lightGray"/>
              </w:rPr>
              <w:t xml:space="preserve"> und technische Ressourcen) angemessen</w:t>
            </w:r>
          </w:p>
          <w:p w14:paraId="6CD8A632" w14:textId="77777777" w:rsidR="006E1DCF" w:rsidRDefault="006E1DCF" w:rsidP="006E1DCF">
            <w:pPr>
              <w:pStyle w:val="Listenabsatz"/>
              <w:numPr>
                <w:ilvl w:val="1"/>
                <w:numId w:val="17"/>
              </w:numPr>
              <w:ind w:left="317" w:hanging="283"/>
              <w:jc w:val="both"/>
              <w:rPr>
                <w:rFonts w:cs="Arial"/>
                <w:i/>
                <w:szCs w:val="20"/>
                <w:highlight w:val="lightGray"/>
              </w:rPr>
            </w:pPr>
            <w:r>
              <w:rPr>
                <w:rFonts w:cs="Arial"/>
                <w:i/>
                <w:szCs w:val="20"/>
                <w:highlight w:val="lightGray"/>
              </w:rPr>
              <w:t>Die Mitarbeiter im Risikomanagement werden regelmässig weitergebildet</w:t>
            </w:r>
          </w:p>
          <w:p w14:paraId="7C0E3A62" w14:textId="772D27A0" w:rsidR="00380AE2" w:rsidRPr="006150E4" w:rsidRDefault="006E1DCF" w:rsidP="00380AE2">
            <w:pPr>
              <w:pStyle w:val="Listenabsatz"/>
              <w:numPr>
                <w:ilvl w:val="1"/>
                <w:numId w:val="17"/>
              </w:numPr>
              <w:ind w:left="317" w:hanging="283"/>
              <w:jc w:val="both"/>
              <w:rPr>
                <w:rFonts w:cs="Arial"/>
                <w:i/>
                <w:szCs w:val="20"/>
              </w:rPr>
            </w:pPr>
            <w:r>
              <w:rPr>
                <w:rFonts w:cs="Arial"/>
                <w:i/>
                <w:szCs w:val="20"/>
                <w:highlight w:val="lightGray"/>
              </w:rPr>
              <w:t>Die Risikomanagementfunktion kann ungefiltert an den Verwaltungsrat berichten</w:t>
            </w:r>
          </w:p>
          <w:p w14:paraId="4E6CCA91" w14:textId="474D88B8" w:rsidR="006E1DCF" w:rsidRPr="00CE3194" w:rsidRDefault="00380AE2" w:rsidP="00380AE2">
            <w:pPr>
              <w:pStyle w:val="Listenabsatz"/>
              <w:numPr>
                <w:ilvl w:val="1"/>
                <w:numId w:val="17"/>
              </w:numPr>
              <w:ind w:left="317" w:hanging="283"/>
              <w:jc w:val="both"/>
              <w:rPr>
                <w:rFonts w:cs="Arial"/>
                <w:i/>
                <w:szCs w:val="20"/>
                <w:highlight w:val="lightGray"/>
              </w:rPr>
            </w:pPr>
            <w:r w:rsidRPr="0099798B">
              <w:rPr>
                <w:rFonts w:cs="Arial"/>
                <w:i/>
                <w:szCs w:val="20"/>
                <w:highlight w:val="lightGray"/>
              </w:rPr>
              <w:t>ESG-</w:t>
            </w:r>
            <w:r w:rsidR="003C5E3F" w:rsidRPr="0099798B">
              <w:rPr>
                <w:rFonts w:cs="Arial"/>
                <w:i/>
                <w:szCs w:val="20"/>
                <w:highlight w:val="lightGray"/>
              </w:rPr>
              <w:t>R</w:t>
            </w:r>
            <w:r w:rsidRPr="0099798B">
              <w:rPr>
                <w:rFonts w:cs="Arial"/>
                <w:i/>
                <w:szCs w:val="20"/>
                <w:highlight w:val="lightGray"/>
              </w:rPr>
              <w:t>isiken werden angemessen berücksichtigt</w:t>
            </w:r>
          </w:p>
        </w:tc>
      </w:tr>
      <w:tr w:rsidR="0003063F" w:rsidRPr="00CE3194" w14:paraId="1B661034" w14:textId="77777777" w:rsidTr="00BC19D0">
        <w:tc>
          <w:tcPr>
            <w:tcW w:w="2660" w:type="dxa"/>
          </w:tcPr>
          <w:p w14:paraId="35AD5B2D" w14:textId="77777777" w:rsidR="0003063F" w:rsidRDefault="0003063F" w:rsidP="00BC19D0">
            <w:pPr>
              <w:jc w:val="both"/>
              <w:rPr>
                <w:rFonts w:ascii="Arial" w:hAnsi="Arial" w:cs="Arial"/>
                <w:i/>
                <w:sz w:val="20"/>
                <w:szCs w:val="20"/>
                <w:highlight w:val="lightGray"/>
              </w:rPr>
            </w:pPr>
            <w:r>
              <w:rPr>
                <w:rFonts w:ascii="Arial" w:hAnsi="Arial" w:cs="Arial"/>
                <w:i/>
                <w:sz w:val="20"/>
                <w:szCs w:val="20"/>
                <w:highlight w:val="lightGray"/>
              </w:rPr>
              <w:lastRenderedPageBreak/>
              <w:t>Ausgestaltung des Risikomanagement-Rahmenwerks (inkl. ICAAP / ILAAP Rahmenwerk) unter Berücksichtigung des Proportionalitätsgrundsatz</w:t>
            </w:r>
          </w:p>
        </w:tc>
        <w:tc>
          <w:tcPr>
            <w:tcW w:w="6520" w:type="dxa"/>
          </w:tcPr>
          <w:p w14:paraId="568F8E7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 xml:space="preserve">Das Rahmenwerk stellt die Identifizierung und Quantifizierung sämtlicher wesentlicher Risiken sicher inkl. den Risiken aus dem makroökonomischen Umfeld und geopolitische Risiken </w:t>
            </w:r>
          </w:p>
          <w:p w14:paraId="5C5918C9"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nutzt zur Quantifizierung u.a. risikoadjustierte Erfolgskennzahlen</w:t>
            </w:r>
          </w:p>
          <w:p w14:paraId="6118C1A4" w14:textId="504D0D86"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steht in Ei</w:t>
            </w:r>
            <w:r w:rsidR="00EE5944">
              <w:rPr>
                <w:rFonts w:cs="Arial"/>
                <w:i/>
                <w:szCs w:val="20"/>
                <w:highlight w:val="lightGray"/>
              </w:rPr>
              <w:t xml:space="preserve">nklang mit dem Risikoappetit der Bank </w:t>
            </w:r>
            <w:r>
              <w:rPr>
                <w:rFonts w:cs="Arial"/>
                <w:i/>
                <w:szCs w:val="20"/>
                <w:highlight w:val="lightGray"/>
              </w:rPr>
              <w:t>/ Gruppe (konsistentes und validiertes Limitwesen)</w:t>
            </w:r>
          </w:p>
          <w:p w14:paraId="0DC99CA1"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berücksichtigt die bankinterne Budgetierung und Mehrjahresplanung</w:t>
            </w:r>
          </w:p>
          <w:p w14:paraId="0A8A7D1F"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wurde in die Gesamtbanksteuerung konsistent integriert</w:t>
            </w:r>
          </w:p>
          <w:p w14:paraId="7DEEBD50"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gewährleistet die Etablierung angemessener Management-Puffer</w:t>
            </w:r>
          </w:p>
          <w:p w14:paraId="4AE1A8F6" w14:textId="77777777" w:rsidR="0003063F" w:rsidRDefault="0003063F" w:rsidP="004D604F">
            <w:pPr>
              <w:pStyle w:val="Listenabsatz"/>
              <w:numPr>
                <w:ilvl w:val="1"/>
                <w:numId w:val="17"/>
              </w:numPr>
              <w:ind w:left="317" w:hanging="283"/>
              <w:jc w:val="both"/>
              <w:rPr>
                <w:rFonts w:cs="Arial"/>
                <w:i/>
                <w:szCs w:val="20"/>
                <w:highlight w:val="lightGray"/>
              </w:rPr>
            </w:pPr>
            <w:r>
              <w:rPr>
                <w:rFonts w:cs="Arial"/>
                <w:i/>
                <w:szCs w:val="20"/>
                <w:highlight w:val="lightGray"/>
              </w:rPr>
              <w:t>Das Rahmenwerk inkludiert ein unabhängiges und regelmässiges internes Überprüfungsverfahren des Risikomanagement-Rahmenwerks sowie Verfahren zur Weiterentwicklung</w:t>
            </w:r>
          </w:p>
          <w:p w14:paraId="7484290A" w14:textId="77777777" w:rsidR="0003063F" w:rsidRDefault="0003063F" w:rsidP="006E1DCF">
            <w:pPr>
              <w:pStyle w:val="Listenabsatz"/>
              <w:numPr>
                <w:ilvl w:val="1"/>
                <w:numId w:val="17"/>
              </w:numPr>
              <w:ind w:left="317" w:hanging="283"/>
              <w:jc w:val="both"/>
              <w:rPr>
                <w:rFonts w:cs="Arial"/>
                <w:i/>
                <w:szCs w:val="20"/>
                <w:highlight w:val="lightGray"/>
              </w:rPr>
            </w:pPr>
            <w:r>
              <w:rPr>
                <w:rFonts w:cs="Arial"/>
                <w:i/>
                <w:szCs w:val="20"/>
                <w:highlight w:val="lightGray"/>
              </w:rPr>
              <w:t>Das Rahmenwerk stellt sicher, dass die Ergebnisse aus dem Risikomanagement tatsächlich zur Steuerung von Risiken und nicht bloss zur Optimierung regulatorischer Kennzahlen verwendet werden („use-test“)</w:t>
            </w:r>
          </w:p>
          <w:p w14:paraId="4E1BCBCB" w14:textId="74462477" w:rsidR="00380AE2" w:rsidRDefault="00380AE2" w:rsidP="00380AE2">
            <w:pPr>
              <w:pStyle w:val="Listenabsatz"/>
              <w:numPr>
                <w:ilvl w:val="1"/>
                <w:numId w:val="17"/>
              </w:numPr>
              <w:ind w:left="317" w:hanging="283"/>
              <w:jc w:val="both"/>
              <w:rPr>
                <w:rFonts w:cs="Arial"/>
                <w:i/>
                <w:szCs w:val="20"/>
                <w:highlight w:val="lightGray"/>
              </w:rPr>
            </w:pPr>
            <w:r w:rsidRPr="0099798B">
              <w:rPr>
                <w:rFonts w:cs="Arial"/>
                <w:i/>
                <w:szCs w:val="20"/>
                <w:highlight w:val="lightGray"/>
              </w:rPr>
              <w:t>ESG-</w:t>
            </w:r>
            <w:r w:rsidR="00DA1022" w:rsidRPr="0099798B">
              <w:rPr>
                <w:rFonts w:cs="Arial"/>
                <w:i/>
                <w:szCs w:val="20"/>
                <w:highlight w:val="lightGray"/>
              </w:rPr>
              <w:t>R</w:t>
            </w:r>
            <w:r w:rsidRPr="0099798B">
              <w:rPr>
                <w:rFonts w:cs="Arial"/>
                <w:i/>
                <w:szCs w:val="20"/>
                <w:highlight w:val="lightGray"/>
              </w:rPr>
              <w:t>isiken werden angemessen berücksichtigt</w:t>
            </w:r>
          </w:p>
        </w:tc>
      </w:tr>
    </w:tbl>
    <w:p w14:paraId="35884C1F" w14:textId="77777777" w:rsidR="00743771" w:rsidRDefault="00743771" w:rsidP="00743771">
      <w:pPr>
        <w:jc w:val="both"/>
      </w:pPr>
    </w:p>
    <w:p w14:paraId="48DD01B3" w14:textId="77777777" w:rsidR="00EE5944" w:rsidRPr="00276C60" w:rsidRDefault="00EE5944" w:rsidP="00EE5944">
      <w:pPr>
        <w:jc w:val="both"/>
        <w:rPr>
          <w:rFonts w:ascii="Arial" w:hAnsi="Arial" w:cs="Arial"/>
          <w:i/>
          <w:sz w:val="20"/>
          <w:szCs w:val="20"/>
        </w:rPr>
      </w:pPr>
      <w:r w:rsidRPr="00276C60">
        <w:rPr>
          <w:rFonts w:ascii="Arial" w:hAnsi="Arial" w:cs="Arial"/>
          <w:i/>
          <w:sz w:val="20"/>
          <w:szCs w:val="20"/>
          <w:highlight w:val="yellow"/>
        </w:rPr>
        <w:t>Text</w:t>
      </w:r>
    </w:p>
    <w:p w14:paraId="655C6CBB" w14:textId="77777777" w:rsidR="006E1DCF" w:rsidRDefault="006E1DCF" w:rsidP="00743771">
      <w:pPr>
        <w:jc w:val="both"/>
      </w:pPr>
    </w:p>
    <w:p w14:paraId="300ADE5F" w14:textId="77777777" w:rsidR="005147EB" w:rsidRDefault="008C30D1" w:rsidP="006F7AB5">
      <w:pPr>
        <w:pStyle w:val="FINMAGliederungEbene3"/>
      </w:pPr>
      <w:bookmarkStart w:id="60" w:name="_Toc216425809"/>
      <w:r>
        <w:t>Interne Kontrollfunktion: Compliance</w:t>
      </w:r>
      <w:r w:rsidR="00543DCA">
        <w:t xml:space="preserve"> (GOV-5)</w:t>
      </w:r>
      <w:bookmarkEnd w:id="60"/>
    </w:p>
    <w:p w14:paraId="2C01B2E9" w14:textId="77777777" w:rsidR="005147EB" w:rsidRDefault="005147EB" w:rsidP="005147EB">
      <w:pPr>
        <w:jc w:val="both"/>
      </w:pPr>
    </w:p>
    <w:tbl>
      <w:tblPr>
        <w:tblStyle w:val="Tabellenraster"/>
        <w:tblW w:w="0" w:type="auto"/>
        <w:tblLook w:val="04A0" w:firstRow="1" w:lastRow="0" w:firstColumn="1" w:lastColumn="0" w:noHBand="0" w:noVBand="1"/>
      </w:tblPr>
      <w:tblGrid>
        <w:gridCol w:w="1932"/>
        <w:gridCol w:w="2145"/>
        <w:gridCol w:w="1721"/>
        <w:gridCol w:w="3382"/>
      </w:tblGrid>
      <w:tr w:rsidR="005147EB" w:rsidRPr="009872F3" w14:paraId="259D49AF" w14:textId="77777777" w:rsidTr="00BC19D0">
        <w:trPr>
          <w:trHeight w:val="563"/>
        </w:trPr>
        <w:tc>
          <w:tcPr>
            <w:tcW w:w="1932" w:type="dxa"/>
          </w:tcPr>
          <w:p w14:paraId="58396AA9"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2DBDC351"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63FABFCF"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147EB" w:rsidRPr="009872F3" w14:paraId="6F4D2AF9" w14:textId="77777777" w:rsidTr="00BC19D0">
        <w:trPr>
          <w:trHeight w:val="698"/>
        </w:trPr>
        <w:tc>
          <w:tcPr>
            <w:tcW w:w="1932" w:type="dxa"/>
          </w:tcPr>
          <w:p w14:paraId="1E207E1E" w14:textId="242B81F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5F92F992" w14:textId="77777777" w:rsidR="005147EB" w:rsidRPr="006749F0" w:rsidRDefault="005147EB"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47D4A7B" w14:textId="77777777" w:rsidR="005147EB" w:rsidRPr="009872F3" w:rsidRDefault="005147EB"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59F0E7F" w14:textId="77777777" w:rsidR="005147EB" w:rsidRDefault="005147EB"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71FC18B7" w14:textId="77777777" w:rsidR="005147EB" w:rsidRPr="006749F0" w:rsidRDefault="005147EB" w:rsidP="00BC19D0">
            <w:pPr>
              <w:jc w:val="both"/>
              <w:rPr>
                <w:rFonts w:ascii="Arial" w:hAnsi="Arial" w:cs="Arial"/>
                <w:i/>
                <w:sz w:val="18"/>
                <w:szCs w:val="18"/>
              </w:rPr>
            </w:pPr>
            <w:r w:rsidRPr="006749F0">
              <w:rPr>
                <w:rFonts w:ascii="Arial" w:hAnsi="Arial" w:cs="Arial"/>
                <w:i/>
                <w:sz w:val="18"/>
                <w:szCs w:val="18"/>
                <w:highlight w:val="yellow"/>
              </w:rPr>
              <w:t>Jahr</w:t>
            </w:r>
          </w:p>
        </w:tc>
      </w:tr>
      <w:tr w:rsidR="005147EB" w:rsidRPr="00E54B17" w14:paraId="7BCDEF86" w14:textId="77777777" w:rsidTr="00BC19D0">
        <w:trPr>
          <w:trHeight w:val="636"/>
        </w:trPr>
        <w:tc>
          <w:tcPr>
            <w:tcW w:w="9180" w:type="dxa"/>
            <w:gridSpan w:val="4"/>
          </w:tcPr>
          <w:p w14:paraId="7E769474" w14:textId="77777777" w:rsidR="005147EB" w:rsidRDefault="005147EB" w:rsidP="00BC19D0">
            <w:pPr>
              <w:jc w:val="both"/>
              <w:rPr>
                <w:rFonts w:ascii="Arial" w:hAnsi="Arial" w:cs="Arial"/>
                <w:sz w:val="18"/>
                <w:szCs w:val="18"/>
              </w:rPr>
            </w:pPr>
          </w:p>
          <w:p w14:paraId="262A2C0A" w14:textId="77777777" w:rsidR="005147EB" w:rsidRPr="00F60909" w:rsidRDefault="005147EB"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AE845E3" w14:textId="512EFDBD" w:rsidR="005147EB" w:rsidRPr="00A938AE" w:rsidRDefault="005147EB" w:rsidP="00BC19D0">
            <w:pPr>
              <w:jc w:val="both"/>
              <w:rPr>
                <w:rFonts w:ascii="Arial" w:hAnsi="Arial" w:cs="Arial"/>
                <w:sz w:val="18"/>
                <w:szCs w:val="18"/>
              </w:rPr>
            </w:pPr>
            <w:r w:rsidRPr="00287F87">
              <w:rPr>
                <w:rFonts w:ascii="Arial" w:hAnsi="Arial" w:cs="Arial"/>
                <w:sz w:val="18"/>
                <w:szCs w:val="18"/>
                <w:highlight w:val="yellow"/>
              </w:rPr>
              <w:t>Art. 7</w:t>
            </w:r>
            <w:r w:rsidR="00D73C86" w:rsidRPr="00287F87">
              <w:rPr>
                <w:rFonts w:ascii="Arial" w:hAnsi="Arial" w:cs="Arial"/>
                <w:sz w:val="18"/>
                <w:szCs w:val="18"/>
                <w:highlight w:val="yellow"/>
              </w:rPr>
              <w:t>4</w:t>
            </w:r>
            <w:r w:rsidRPr="00287F87">
              <w:rPr>
                <w:rFonts w:ascii="Arial" w:hAnsi="Arial" w:cs="Arial"/>
                <w:sz w:val="18"/>
                <w:szCs w:val="18"/>
                <w:highlight w:val="yellow"/>
              </w:rPr>
              <w:t xml:space="preserve"> BankG;</w:t>
            </w:r>
            <w:r w:rsidR="00301F5D" w:rsidRPr="002561FD">
              <w:rPr>
                <w:rFonts w:ascii="Arial" w:hAnsi="Arial" w:cs="Arial"/>
                <w:sz w:val="18"/>
                <w:szCs w:val="18"/>
                <w:highlight w:val="yellow"/>
              </w:rPr>
              <w:t xml:space="preserve"> </w:t>
            </w:r>
            <w:r w:rsidRPr="002561FD">
              <w:rPr>
                <w:rFonts w:ascii="Arial" w:hAnsi="Arial" w:cs="Arial"/>
                <w:sz w:val="18"/>
                <w:szCs w:val="18"/>
                <w:highlight w:val="yellow"/>
              </w:rPr>
              <w:t xml:space="preserve">Art. </w:t>
            </w:r>
            <w:r w:rsidR="00A07723" w:rsidRPr="00A938AE">
              <w:rPr>
                <w:rFonts w:ascii="Arial" w:hAnsi="Arial" w:cs="Arial"/>
                <w:sz w:val="18"/>
                <w:szCs w:val="18"/>
                <w:highlight w:val="yellow"/>
              </w:rPr>
              <w:t xml:space="preserve">13 </w:t>
            </w:r>
            <w:r w:rsidRPr="00A938AE">
              <w:rPr>
                <w:rFonts w:ascii="Arial" w:hAnsi="Arial" w:cs="Arial"/>
                <w:sz w:val="18"/>
                <w:szCs w:val="18"/>
                <w:highlight w:val="yellow"/>
              </w:rPr>
              <w:t>BankV</w:t>
            </w:r>
            <w:r w:rsidR="00A07723" w:rsidRPr="00A938AE">
              <w:rPr>
                <w:rFonts w:ascii="Arial" w:hAnsi="Arial" w:cs="Arial"/>
                <w:sz w:val="18"/>
                <w:szCs w:val="18"/>
                <w:highlight w:val="yellow"/>
              </w:rPr>
              <w:t xml:space="preserve">; </w:t>
            </w:r>
            <w:r w:rsidR="00E667CF" w:rsidRPr="00A938AE">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p>
        </w:tc>
      </w:tr>
      <w:tr w:rsidR="005147EB" w:rsidRPr="00E54B17" w14:paraId="703744DC" w14:textId="77777777" w:rsidTr="00BC19D0">
        <w:trPr>
          <w:trHeight w:val="294"/>
        </w:trPr>
        <w:tc>
          <w:tcPr>
            <w:tcW w:w="9180" w:type="dxa"/>
            <w:gridSpan w:val="4"/>
          </w:tcPr>
          <w:p w14:paraId="266AF49F" w14:textId="77777777" w:rsidR="005147EB" w:rsidRPr="00A938AE" w:rsidRDefault="005147EB" w:rsidP="00BC19D0">
            <w:pPr>
              <w:jc w:val="both"/>
              <w:rPr>
                <w:rFonts w:ascii="Arial" w:hAnsi="Arial" w:cs="Arial"/>
                <w:sz w:val="18"/>
                <w:szCs w:val="18"/>
              </w:rPr>
            </w:pPr>
          </w:p>
        </w:tc>
      </w:tr>
      <w:tr w:rsidR="005147EB" w:rsidRPr="009872F3" w14:paraId="0842E124" w14:textId="77777777" w:rsidTr="00BC19D0">
        <w:tc>
          <w:tcPr>
            <w:tcW w:w="5798" w:type="dxa"/>
            <w:gridSpan w:val="3"/>
          </w:tcPr>
          <w:p w14:paraId="1359A89B" w14:textId="5E6B6B65" w:rsidR="005147EB" w:rsidRPr="009872F3" w:rsidRDefault="005147EB"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Compliance-Funktion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1A5FF5F" w14:textId="77777777" w:rsidR="005147EB" w:rsidRPr="00E109DF" w:rsidRDefault="005147EB"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514E59CF" w14:textId="77777777" w:rsidTr="00BC19D0">
        <w:tc>
          <w:tcPr>
            <w:tcW w:w="5798" w:type="dxa"/>
            <w:gridSpan w:val="3"/>
          </w:tcPr>
          <w:p w14:paraId="08C3DED9" w14:textId="77777777" w:rsidR="005147EB" w:rsidRPr="009872F3" w:rsidRDefault="005147EB" w:rsidP="005147EB">
            <w:pPr>
              <w:jc w:val="both"/>
              <w:rPr>
                <w:rFonts w:ascii="Arial" w:hAnsi="Arial" w:cs="Arial"/>
                <w:sz w:val="18"/>
                <w:szCs w:val="18"/>
              </w:rPr>
            </w:pPr>
            <w:r>
              <w:rPr>
                <w:rFonts w:ascii="Arial" w:hAnsi="Arial" w:cs="Arial"/>
                <w:sz w:val="18"/>
                <w:szCs w:val="18"/>
              </w:rPr>
              <w:t>Bestätigung, dass die Verantwortlichkeiten und Kompetenzen der Compliance-Funktion angemessen ausgestaltet sind</w:t>
            </w:r>
          </w:p>
        </w:tc>
        <w:tc>
          <w:tcPr>
            <w:tcW w:w="3382" w:type="dxa"/>
          </w:tcPr>
          <w:p w14:paraId="5D48EA38"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18959DE" w14:textId="77777777" w:rsidTr="00BC19D0">
        <w:trPr>
          <w:trHeight w:val="123"/>
        </w:trPr>
        <w:tc>
          <w:tcPr>
            <w:tcW w:w="5798" w:type="dxa"/>
            <w:gridSpan w:val="3"/>
          </w:tcPr>
          <w:p w14:paraId="45D83084" w14:textId="77777777" w:rsidR="005147EB" w:rsidRDefault="005147EB"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11CA1B63" w14:textId="77777777" w:rsidR="005147EB" w:rsidRPr="009872F3" w:rsidRDefault="005147EB"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6AC131A8" w14:textId="77777777" w:rsidTr="00BC19D0">
        <w:tc>
          <w:tcPr>
            <w:tcW w:w="5798" w:type="dxa"/>
            <w:gridSpan w:val="3"/>
          </w:tcPr>
          <w:p w14:paraId="5D495644" w14:textId="77777777" w:rsidR="005147EB" w:rsidRDefault="005147EB" w:rsidP="00BC19D0">
            <w:pPr>
              <w:jc w:val="both"/>
              <w:rPr>
                <w:rFonts w:ascii="Arial" w:hAnsi="Arial" w:cs="Arial"/>
                <w:sz w:val="18"/>
                <w:szCs w:val="18"/>
              </w:rPr>
            </w:pPr>
            <w:r>
              <w:rPr>
                <w:rFonts w:ascii="Arial" w:hAnsi="Arial" w:cs="Arial"/>
                <w:sz w:val="18"/>
                <w:szCs w:val="18"/>
              </w:rPr>
              <w:t>Bestätigung, dass die internen Verfahren ein angemessenes Berichterstattungswesen sicherstellen</w:t>
            </w:r>
          </w:p>
        </w:tc>
        <w:tc>
          <w:tcPr>
            <w:tcW w:w="3382" w:type="dxa"/>
          </w:tcPr>
          <w:p w14:paraId="617F4684"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1B57BE38" w14:textId="77777777" w:rsidTr="00BC19D0">
        <w:tc>
          <w:tcPr>
            <w:tcW w:w="5798" w:type="dxa"/>
            <w:gridSpan w:val="3"/>
          </w:tcPr>
          <w:p w14:paraId="109AF5F7" w14:textId="77777777" w:rsidR="005147EB" w:rsidRDefault="005147EB" w:rsidP="00BC19D0">
            <w:pPr>
              <w:jc w:val="both"/>
              <w:rPr>
                <w:rFonts w:ascii="Arial" w:hAnsi="Arial" w:cs="Arial"/>
                <w:sz w:val="18"/>
                <w:szCs w:val="18"/>
              </w:rPr>
            </w:pPr>
            <w:r>
              <w:rPr>
                <w:rFonts w:ascii="Arial" w:hAnsi="Arial" w:cs="Arial"/>
                <w:sz w:val="18"/>
                <w:szCs w:val="18"/>
              </w:rPr>
              <w:lastRenderedPageBreak/>
              <w:t>Bestätigung, dass interne Verfahren bestehen, welche sicherstellen, dass die Compliance-Funktion die Gesetzeskonformität der Geschäftstätigkeit laufend beurteilt</w:t>
            </w:r>
          </w:p>
        </w:tc>
        <w:tc>
          <w:tcPr>
            <w:tcW w:w="3382" w:type="dxa"/>
          </w:tcPr>
          <w:p w14:paraId="23DAC8D8"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147EB" w:rsidRPr="009872F3" w14:paraId="3E9CC8E3" w14:textId="77777777" w:rsidTr="00BC19D0">
        <w:tc>
          <w:tcPr>
            <w:tcW w:w="5798" w:type="dxa"/>
            <w:gridSpan w:val="3"/>
          </w:tcPr>
          <w:p w14:paraId="10292338" w14:textId="77777777" w:rsidR="005147EB" w:rsidRDefault="005147EB" w:rsidP="00BC19D0">
            <w:pPr>
              <w:jc w:val="both"/>
              <w:rPr>
                <w:rFonts w:ascii="Arial" w:hAnsi="Arial" w:cs="Arial"/>
                <w:sz w:val="18"/>
                <w:szCs w:val="18"/>
              </w:rPr>
            </w:pPr>
            <w:r>
              <w:rPr>
                <w:rFonts w:ascii="Arial" w:hAnsi="Arial" w:cs="Arial"/>
                <w:sz w:val="18"/>
                <w:szCs w:val="18"/>
              </w:rPr>
              <w:t>Bestätigung, dass der Prüfplan der Compliance-Funktion auf einem risikobasierten Ansatz beruht und angemessen ist</w:t>
            </w:r>
          </w:p>
        </w:tc>
        <w:tc>
          <w:tcPr>
            <w:tcW w:w="3382" w:type="dxa"/>
          </w:tcPr>
          <w:p w14:paraId="1538C9A7" w14:textId="77777777" w:rsidR="005147EB" w:rsidRPr="00E109DF" w:rsidRDefault="005147EB"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D40BFD" w:rsidRPr="009872F3" w14:paraId="069EB52A" w14:textId="77777777" w:rsidTr="00BC19D0">
        <w:tc>
          <w:tcPr>
            <w:tcW w:w="5798" w:type="dxa"/>
            <w:gridSpan w:val="3"/>
          </w:tcPr>
          <w:p w14:paraId="180C42E0" w14:textId="618770C9" w:rsidR="00D40BFD" w:rsidRDefault="00D40BFD" w:rsidP="00BC19D0">
            <w:pPr>
              <w:jc w:val="both"/>
              <w:rPr>
                <w:rFonts w:ascii="Arial" w:hAnsi="Arial" w:cs="Arial"/>
                <w:sz w:val="18"/>
                <w:szCs w:val="18"/>
              </w:rPr>
            </w:pPr>
            <w:r>
              <w:rPr>
                <w:rFonts w:ascii="Arial" w:hAnsi="Arial" w:cs="Arial"/>
                <w:sz w:val="18"/>
                <w:szCs w:val="18"/>
              </w:rPr>
              <w:t xml:space="preserve">Bestätigung, dass der Tätigkeitsbericht der Compliance-Funktion die Prüfinhalte des Prüfplans angemessen abbildet. </w:t>
            </w:r>
          </w:p>
        </w:tc>
        <w:tc>
          <w:tcPr>
            <w:tcW w:w="3382" w:type="dxa"/>
          </w:tcPr>
          <w:p w14:paraId="296E46CB" w14:textId="2AFA46C1" w:rsidR="00D40BFD" w:rsidRPr="00E109DF" w:rsidRDefault="00D40BFD"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625F5" w:rsidRPr="009872F3" w14:paraId="02B932FC" w14:textId="77777777" w:rsidTr="00BC19D0">
        <w:tc>
          <w:tcPr>
            <w:tcW w:w="5798" w:type="dxa"/>
            <w:gridSpan w:val="3"/>
          </w:tcPr>
          <w:p w14:paraId="78AA4A85" w14:textId="0171632E" w:rsidR="00F625F5" w:rsidRDefault="00F625F5" w:rsidP="00BC19D0">
            <w:pPr>
              <w:jc w:val="both"/>
              <w:rPr>
                <w:rFonts w:ascii="Arial" w:hAnsi="Arial" w:cs="Arial"/>
                <w:sz w:val="18"/>
                <w:szCs w:val="18"/>
              </w:rPr>
            </w:pPr>
            <w:r>
              <w:rPr>
                <w:rFonts w:ascii="Arial" w:hAnsi="Arial" w:cs="Arial"/>
                <w:sz w:val="18"/>
                <w:szCs w:val="18"/>
              </w:rPr>
              <w:t>Bestätigung, dass der Tätigkeitsbericht der Compliance-Funktion die regulatorischen Mindestinhalte vollständig und angemessen abbildet.</w:t>
            </w:r>
          </w:p>
        </w:tc>
        <w:tc>
          <w:tcPr>
            <w:tcW w:w="3382" w:type="dxa"/>
          </w:tcPr>
          <w:p w14:paraId="37F9BC4A" w14:textId="4E7FEBC3" w:rsidR="00F625F5" w:rsidRPr="00E109DF" w:rsidRDefault="00F625F5"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1FD36F4E" w14:textId="77777777" w:rsidR="005147EB" w:rsidRDefault="005147EB" w:rsidP="005147EB">
      <w:pPr>
        <w:jc w:val="both"/>
      </w:pPr>
    </w:p>
    <w:tbl>
      <w:tblPr>
        <w:tblStyle w:val="Tabellenraster"/>
        <w:tblW w:w="0" w:type="auto"/>
        <w:tblLook w:val="04A0" w:firstRow="1" w:lastRow="0" w:firstColumn="1" w:lastColumn="0" w:noHBand="0" w:noVBand="1"/>
      </w:tblPr>
      <w:tblGrid>
        <w:gridCol w:w="2660"/>
        <w:gridCol w:w="6520"/>
      </w:tblGrid>
      <w:tr w:rsidR="005147EB" w:rsidRPr="00CE3194" w14:paraId="1C019CE0" w14:textId="77777777" w:rsidTr="00BC19D0">
        <w:tc>
          <w:tcPr>
            <w:tcW w:w="2660" w:type="dxa"/>
          </w:tcPr>
          <w:p w14:paraId="0D61B7B7" w14:textId="77777777" w:rsidR="005147EB" w:rsidRPr="00CE3194" w:rsidRDefault="005147EB"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8D199AE" w14:textId="77777777" w:rsidR="005147EB" w:rsidRPr="00CE3194" w:rsidRDefault="00C01503"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5147EB" w:rsidRPr="00CE3194" w14:paraId="4B84A7ED" w14:textId="77777777" w:rsidTr="00BC19D0">
        <w:tc>
          <w:tcPr>
            <w:tcW w:w="2660" w:type="dxa"/>
          </w:tcPr>
          <w:p w14:paraId="04EC102D" w14:textId="77777777" w:rsidR="005147EB" w:rsidRPr="00CE3194" w:rsidRDefault="005147EB"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Compliance-Funktion </w:t>
            </w:r>
          </w:p>
        </w:tc>
        <w:tc>
          <w:tcPr>
            <w:tcW w:w="6520" w:type="dxa"/>
          </w:tcPr>
          <w:p w14:paraId="0DDE0902" w14:textId="676C281E" w:rsidR="00A07723" w:rsidRPr="00A07723" w:rsidRDefault="005147EB" w:rsidP="00A07723">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unabhängig ausgestaltet, u.a. unter Analyse des Entschädigungssystem</w:t>
            </w:r>
            <w:r w:rsidR="00A07723">
              <w:rPr>
                <w:rFonts w:cs="Arial"/>
                <w:i/>
                <w:szCs w:val="20"/>
                <w:highlight w:val="lightGray"/>
              </w:rPr>
              <w:t>; organisatorischer Aufbau</w:t>
            </w:r>
          </w:p>
          <w:p w14:paraId="67848055"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613C34B0"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Compliance-Funktion ist ressourcentechnisch (personell und technische Ressourcen) angemessen</w:t>
            </w:r>
          </w:p>
          <w:p w14:paraId="5DBE2EC9" w14:textId="77777777" w:rsidR="005147EB" w:rsidRDefault="005147EB" w:rsidP="00BC19D0">
            <w:pPr>
              <w:pStyle w:val="Listenabsatz"/>
              <w:numPr>
                <w:ilvl w:val="1"/>
                <w:numId w:val="17"/>
              </w:numPr>
              <w:ind w:left="317" w:hanging="283"/>
              <w:jc w:val="both"/>
              <w:rPr>
                <w:rFonts w:cs="Arial"/>
                <w:i/>
                <w:szCs w:val="20"/>
                <w:highlight w:val="lightGray"/>
              </w:rPr>
            </w:pPr>
            <w:r>
              <w:rPr>
                <w:rFonts w:cs="Arial"/>
                <w:i/>
                <w:szCs w:val="20"/>
                <w:highlight w:val="lightGray"/>
              </w:rPr>
              <w:t>Die Mitarbeiter im Compliance werden regelmässig weitergebildet</w:t>
            </w:r>
          </w:p>
          <w:p w14:paraId="6415AF9B"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kann ungefiltert an den Verwaltungsrat berichten</w:t>
            </w:r>
          </w:p>
          <w:p w14:paraId="2EFEBE4D" w14:textId="77777777" w:rsidR="005147EB"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Die Compliance-Funktion prüft die Gesetzeskonformität der Geschäftstätigkeit laufend</w:t>
            </w:r>
          </w:p>
          <w:p w14:paraId="0C66FDB0" w14:textId="77777777" w:rsidR="00D40BFD" w:rsidRPr="002E5C20" w:rsidRDefault="005147EB" w:rsidP="005147EB">
            <w:pPr>
              <w:pStyle w:val="Listenabsatz"/>
              <w:numPr>
                <w:ilvl w:val="1"/>
                <w:numId w:val="17"/>
              </w:numPr>
              <w:ind w:left="317" w:hanging="283"/>
              <w:jc w:val="both"/>
              <w:rPr>
                <w:rFonts w:cs="Arial"/>
                <w:i/>
                <w:szCs w:val="20"/>
                <w:highlight w:val="lightGray"/>
              </w:rPr>
            </w:pPr>
            <w:r>
              <w:rPr>
                <w:rFonts w:cs="Arial"/>
                <w:i/>
                <w:szCs w:val="20"/>
                <w:highlight w:val="lightGray"/>
              </w:rPr>
              <w:t>Der Prüfplan der Compliance-Funktion ist risikobasiert und angemessen</w:t>
            </w:r>
          </w:p>
          <w:p w14:paraId="25C43746" w14:textId="77777777" w:rsidR="005147EB" w:rsidRPr="00685D19" w:rsidRDefault="00D40BFD" w:rsidP="005147EB">
            <w:pPr>
              <w:pStyle w:val="Listenabsatz"/>
              <w:numPr>
                <w:ilvl w:val="1"/>
                <w:numId w:val="17"/>
              </w:numPr>
              <w:ind w:left="317" w:hanging="283"/>
              <w:jc w:val="both"/>
              <w:rPr>
                <w:rFonts w:cs="Arial"/>
                <w:i/>
                <w:szCs w:val="20"/>
                <w:highlight w:val="lightGray"/>
              </w:rPr>
            </w:pPr>
            <w:r w:rsidRPr="002E5C20">
              <w:rPr>
                <w:rFonts w:cs="Arial"/>
                <w:i/>
                <w:szCs w:val="20"/>
                <w:highlight w:val="lightGray"/>
              </w:rPr>
              <w:t>Der Tätigkeitsbericht der Compliance-Funktion bildet die Prüfinhalte des Prüfplans angemessen ab.</w:t>
            </w:r>
            <w:r>
              <w:rPr>
                <w:rFonts w:cs="Arial"/>
                <w:i/>
                <w:szCs w:val="20"/>
              </w:rPr>
              <w:t xml:space="preserve"> </w:t>
            </w:r>
          </w:p>
          <w:p w14:paraId="7DD76683" w14:textId="73893D23" w:rsidR="00F625F5" w:rsidRPr="00CE3194" w:rsidRDefault="00F625F5" w:rsidP="005147EB">
            <w:pPr>
              <w:pStyle w:val="Listenabsatz"/>
              <w:numPr>
                <w:ilvl w:val="1"/>
                <w:numId w:val="17"/>
              </w:numPr>
              <w:ind w:left="317" w:hanging="283"/>
              <w:jc w:val="both"/>
              <w:rPr>
                <w:rFonts w:cs="Arial"/>
                <w:i/>
                <w:szCs w:val="20"/>
                <w:highlight w:val="lightGray"/>
              </w:rPr>
            </w:pPr>
            <w:r w:rsidRPr="00B037A6">
              <w:rPr>
                <w:rFonts w:cs="Arial"/>
                <w:i/>
                <w:szCs w:val="20"/>
                <w:highlight w:val="lightGray"/>
              </w:rPr>
              <w:t>Der Tätigkeitsbericht der Compliance-Funktion bildet die regulatorischen Mindestinhalte vollständig und angemessen ab.</w:t>
            </w:r>
          </w:p>
        </w:tc>
      </w:tr>
    </w:tbl>
    <w:p w14:paraId="3B2AFE26" w14:textId="77777777" w:rsidR="005147EB" w:rsidRDefault="005147EB" w:rsidP="005147EB">
      <w:pPr>
        <w:jc w:val="both"/>
      </w:pPr>
    </w:p>
    <w:p w14:paraId="7B64C37B" w14:textId="77777777" w:rsidR="00A243A0" w:rsidRPr="00276C60" w:rsidRDefault="00A243A0" w:rsidP="00A243A0">
      <w:pPr>
        <w:jc w:val="both"/>
        <w:rPr>
          <w:rFonts w:ascii="Arial" w:hAnsi="Arial" w:cs="Arial"/>
          <w:i/>
          <w:sz w:val="20"/>
          <w:szCs w:val="20"/>
        </w:rPr>
      </w:pPr>
      <w:r w:rsidRPr="00276C60">
        <w:rPr>
          <w:rFonts w:ascii="Arial" w:hAnsi="Arial" w:cs="Arial"/>
          <w:i/>
          <w:sz w:val="20"/>
          <w:szCs w:val="20"/>
          <w:highlight w:val="yellow"/>
        </w:rPr>
        <w:t>Text</w:t>
      </w:r>
    </w:p>
    <w:p w14:paraId="63AC310E" w14:textId="77777777" w:rsidR="005147EB" w:rsidRDefault="005147EB" w:rsidP="005147EB">
      <w:pPr>
        <w:jc w:val="both"/>
      </w:pPr>
    </w:p>
    <w:p w14:paraId="5FE2CB2A" w14:textId="77777777" w:rsidR="008C30D1" w:rsidRDefault="008C30D1" w:rsidP="006F7AB5">
      <w:pPr>
        <w:pStyle w:val="FINMAGliederungEbene3"/>
      </w:pPr>
      <w:bookmarkStart w:id="61" w:name="_Toc216425810"/>
      <w:r>
        <w:t>Interne Kontrollfunktion: Interne Revision</w:t>
      </w:r>
      <w:r w:rsidR="00543DCA">
        <w:t xml:space="preserve"> (GOV-6)</w:t>
      </w:r>
      <w:bookmarkEnd w:id="61"/>
    </w:p>
    <w:p w14:paraId="1A98E560" w14:textId="77777777" w:rsidR="00246F1E" w:rsidRDefault="00246F1E" w:rsidP="00246F1E">
      <w:pPr>
        <w:jc w:val="both"/>
      </w:pPr>
    </w:p>
    <w:tbl>
      <w:tblPr>
        <w:tblStyle w:val="Tabellenraster"/>
        <w:tblW w:w="0" w:type="auto"/>
        <w:tblLook w:val="04A0" w:firstRow="1" w:lastRow="0" w:firstColumn="1" w:lastColumn="0" w:noHBand="0" w:noVBand="1"/>
      </w:tblPr>
      <w:tblGrid>
        <w:gridCol w:w="1932"/>
        <w:gridCol w:w="2145"/>
        <w:gridCol w:w="1721"/>
        <w:gridCol w:w="3382"/>
      </w:tblGrid>
      <w:tr w:rsidR="00246F1E" w:rsidRPr="009872F3" w14:paraId="3340A320" w14:textId="77777777" w:rsidTr="00BC19D0">
        <w:trPr>
          <w:trHeight w:val="563"/>
        </w:trPr>
        <w:tc>
          <w:tcPr>
            <w:tcW w:w="1932" w:type="dxa"/>
          </w:tcPr>
          <w:p w14:paraId="76A4428D"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169A21A6"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2098BB0"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246F1E" w:rsidRPr="009872F3" w14:paraId="643CD70A" w14:textId="77777777" w:rsidTr="00BC19D0">
        <w:trPr>
          <w:trHeight w:val="698"/>
        </w:trPr>
        <w:tc>
          <w:tcPr>
            <w:tcW w:w="1932" w:type="dxa"/>
          </w:tcPr>
          <w:p w14:paraId="51BEC157" w14:textId="3425946F"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E0C01B8" w14:textId="77777777" w:rsidR="00246F1E" w:rsidRPr="006749F0" w:rsidRDefault="00246F1E"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DAAC4E3" w14:textId="77777777" w:rsidR="00246F1E" w:rsidRPr="009872F3" w:rsidRDefault="00246F1E"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B501886" w14:textId="77777777" w:rsidR="00246F1E" w:rsidRDefault="00246F1E"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AC9A146" w14:textId="77777777" w:rsidR="00246F1E" w:rsidRPr="006749F0" w:rsidRDefault="00246F1E" w:rsidP="00BC19D0">
            <w:pPr>
              <w:jc w:val="both"/>
              <w:rPr>
                <w:rFonts w:ascii="Arial" w:hAnsi="Arial" w:cs="Arial"/>
                <w:i/>
                <w:sz w:val="18"/>
                <w:szCs w:val="18"/>
              </w:rPr>
            </w:pPr>
            <w:r w:rsidRPr="006749F0">
              <w:rPr>
                <w:rFonts w:ascii="Arial" w:hAnsi="Arial" w:cs="Arial"/>
                <w:i/>
                <w:sz w:val="18"/>
                <w:szCs w:val="18"/>
                <w:highlight w:val="yellow"/>
              </w:rPr>
              <w:t>Jahr</w:t>
            </w:r>
          </w:p>
        </w:tc>
      </w:tr>
      <w:tr w:rsidR="00246F1E" w:rsidRPr="00DC249D" w14:paraId="07C47EB0" w14:textId="77777777" w:rsidTr="00BC19D0">
        <w:trPr>
          <w:trHeight w:val="636"/>
        </w:trPr>
        <w:tc>
          <w:tcPr>
            <w:tcW w:w="9180" w:type="dxa"/>
            <w:gridSpan w:val="4"/>
          </w:tcPr>
          <w:p w14:paraId="0D1287F5" w14:textId="77777777" w:rsidR="00246F1E" w:rsidRDefault="00246F1E" w:rsidP="00BC19D0">
            <w:pPr>
              <w:jc w:val="both"/>
              <w:rPr>
                <w:rFonts w:ascii="Arial" w:hAnsi="Arial" w:cs="Arial"/>
                <w:sz w:val="18"/>
                <w:szCs w:val="18"/>
              </w:rPr>
            </w:pPr>
          </w:p>
          <w:p w14:paraId="1AF67602" w14:textId="77777777" w:rsidR="00246F1E" w:rsidRPr="00F60909" w:rsidRDefault="00246F1E"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C19E072" w14:textId="4BEB5A8D" w:rsidR="00246F1E" w:rsidRPr="00287F87" w:rsidRDefault="00246F1E" w:rsidP="00BC19D0">
            <w:pPr>
              <w:jc w:val="both"/>
              <w:rPr>
                <w:rFonts w:ascii="Arial" w:hAnsi="Arial" w:cs="Arial"/>
                <w:sz w:val="18"/>
                <w:szCs w:val="18"/>
              </w:rPr>
            </w:pPr>
            <w:r w:rsidRPr="00287F87">
              <w:rPr>
                <w:rFonts w:ascii="Arial" w:hAnsi="Arial" w:cs="Arial"/>
                <w:sz w:val="18"/>
                <w:szCs w:val="18"/>
                <w:highlight w:val="yellow"/>
              </w:rPr>
              <w:t xml:space="preserve">Art. </w:t>
            </w:r>
            <w:r w:rsidR="00B73B10" w:rsidRPr="00287F87">
              <w:rPr>
                <w:rFonts w:ascii="Arial" w:hAnsi="Arial" w:cs="Arial"/>
                <w:sz w:val="18"/>
                <w:szCs w:val="18"/>
                <w:highlight w:val="yellow"/>
              </w:rPr>
              <w:t>75</w:t>
            </w:r>
            <w:r w:rsidRPr="002561FD">
              <w:rPr>
                <w:rFonts w:ascii="Arial" w:hAnsi="Arial" w:cs="Arial"/>
                <w:sz w:val="18"/>
                <w:szCs w:val="18"/>
                <w:highlight w:val="yellow"/>
              </w:rPr>
              <w:t xml:space="preserve"> BankG; </w:t>
            </w:r>
            <w:r w:rsidR="00E667CF" w:rsidRPr="002561FD">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p>
        </w:tc>
      </w:tr>
      <w:tr w:rsidR="00246F1E" w:rsidRPr="00DC249D" w14:paraId="701498B2" w14:textId="77777777" w:rsidTr="00BC19D0">
        <w:trPr>
          <w:trHeight w:val="294"/>
        </w:trPr>
        <w:tc>
          <w:tcPr>
            <w:tcW w:w="9180" w:type="dxa"/>
            <w:gridSpan w:val="4"/>
          </w:tcPr>
          <w:p w14:paraId="183CD06D" w14:textId="77777777" w:rsidR="00246F1E" w:rsidRPr="00287F87" w:rsidRDefault="00246F1E" w:rsidP="00BC19D0">
            <w:pPr>
              <w:jc w:val="both"/>
              <w:rPr>
                <w:rFonts w:ascii="Arial" w:hAnsi="Arial" w:cs="Arial"/>
                <w:sz w:val="18"/>
                <w:szCs w:val="18"/>
              </w:rPr>
            </w:pPr>
          </w:p>
        </w:tc>
      </w:tr>
      <w:tr w:rsidR="00246F1E" w:rsidRPr="009872F3" w14:paraId="1C595FD5" w14:textId="77777777" w:rsidTr="00BC19D0">
        <w:tc>
          <w:tcPr>
            <w:tcW w:w="5798" w:type="dxa"/>
            <w:gridSpan w:val="3"/>
          </w:tcPr>
          <w:p w14:paraId="6132E038" w14:textId="52DCD0D3" w:rsidR="00246F1E" w:rsidRPr="009872F3" w:rsidRDefault="003B19A8" w:rsidP="00D85688">
            <w:pPr>
              <w:jc w:val="both"/>
              <w:rPr>
                <w:rFonts w:ascii="Arial" w:hAnsi="Arial" w:cs="Arial"/>
                <w:sz w:val="18"/>
                <w:szCs w:val="18"/>
              </w:rPr>
            </w:pPr>
            <w:r>
              <w:rPr>
                <w:rFonts w:ascii="Arial" w:hAnsi="Arial" w:cs="Arial"/>
                <w:sz w:val="18"/>
                <w:szCs w:val="18"/>
              </w:rPr>
              <w:t xml:space="preserve">Bestätigung, dass die organisatorische Anordnung </w:t>
            </w:r>
            <w:r w:rsidR="00D85688">
              <w:rPr>
                <w:rFonts w:ascii="Arial" w:hAnsi="Arial" w:cs="Arial"/>
                <w:sz w:val="18"/>
                <w:szCs w:val="18"/>
              </w:rPr>
              <w:t>der Internen Revision</w:t>
            </w:r>
            <w:r>
              <w:rPr>
                <w:rFonts w:ascii="Arial" w:hAnsi="Arial" w:cs="Arial"/>
                <w:sz w:val="18"/>
                <w:szCs w:val="18"/>
              </w:rPr>
              <w:t xml:space="preserve"> und das Entschädigungssystem </w:t>
            </w:r>
            <w:r w:rsidR="00D85688">
              <w:rPr>
                <w:rFonts w:ascii="Arial" w:hAnsi="Arial" w:cs="Arial"/>
                <w:sz w:val="18"/>
                <w:szCs w:val="18"/>
              </w:rPr>
              <w:t xml:space="preserve">dieser </w:t>
            </w:r>
            <w:r>
              <w:rPr>
                <w:rFonts w:ascii="Arial" w:hAnsi="Arial" w:cs="Arial"/>
                <w:sz w:val="18"/>
                <w:szCs w:val="18"/>
              </w:rPr>
              <w:t xml:space="preserve">keine Zielkonflikte herbeiführen und </w:t>
            </w:r>
            <w:r w:rsidR="00D85688">
              <w:rPr>
                <w:rFonts w:ascii="Arial" w:hAnsi="Arial" w:cs="Arial"/>
                <w:sz w:val="18"/>
                <w:szCs w:val="18"/>
              </w:rPr>
              <w:t xml:space="preserve">deren </w:t>
            </w:r>
            <w:r>
              <w:rPr>
                <w:rFonts w:ascii="Arial" w:hAnsi="Arial" w:cs="Arial"/>
                <w:sz w:val="18"/>
                <w:szCs w:val="18"/>
              </w:rPr>
              <w:t>Unabhängigkeit nicht negativ beeinflussen</w:t>
            </w:r>
          </w:p>
        </w:tc>
        <w:tc>
          <w:tcPr>
            <w:tcW w:w="3382" w:type="dxa"/>
          </w:tcPr>
          <w:p w14:paraId="77D0B269" w14:textId="77777777" w:rsidR="00246F1E" w:rsidRPr="00E109DF" w:rsidRDefault="00246F1E" w:rsidP="00BC19D0">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244D81B3" w14:textId="77777777" w:rsidTr="00BC19D0">
        <w:tc>
          <w:tcPr>
            <w:tcW w:w="5798" w:type="dxa"/>
            <w:gridSpan w:val="3"/>
          </w:tcPr>
          <w:p w14:paraId="2BBE2142" w14:textId="7C44142D" w:rsidR="00246F1E" w:rsidRPr="009872F3" w:rsidRDefault="003B19A8" w:rsidP="003B19A8">
            <w:pPr>
              <w:jc w:val="both"/>
              <w:rPr>
                <w:rFonts w:ascii="Arial" w:hAnsi="Arial" w:cs="Arial"/>
                <w:sz w:val="18"/>
                <w:szCs w:val="18"/>
              </w:rPr>
            </w:pPr>
            <w:r>
              <w:rPr>
                <w:rFonts w:ascii="Arial" w:hAnsi="Arial" w:cs="Arial"/>
                <w:sz w:val="18"/>
                <w:szCs w:val="18"/>
              </w:rPr>
              <w:t xml:space="preserve">Bestätigung, dass die Verantwortlichkeiten und Kompetenzen der </w:t>
            </w:r>
            <w:r w:rsidR="00D85688">
              <w:rPr>
                <w:rFonts w:ascii="Arial" w:hAnsi="Arial" w:cs="Arial"/>
                <w:sz w:val="18"/>
                <w:szCs w:val="18"/>
              </w:rPr>
              <w:t>I</w:t>
            </w:r>
            <w:r>
              <w:rPr>
                <w:rFonts w:ascii="Arial" w:hAnsi="Arial" w:cs="Arial"/>
                <w:sz w:val="18"/>
                <w:szCs w:val="18"/>
              </w:rPr>
              <w:t>nternen Revision angemessen ausgestaltet sind</w:t>
            </w:r>
          </w:p>
        </w:tc>
        <w:tc>
          <w:tcPr>
            <w:tcW w:w="3382" w:type="dxa"/>
          </w:tcPr>
          <w:p w14:paraId="380EA144"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57E60980" w14:textId="77777777" w:rsidTr="00BC19D0">
        <w:trPr>
          <w:trHeight w:val="123"/>
        </w:trPr>
        <w:tc>
          <w:tcPr>
            <w:tcW w:w="5798" w:type="dxa"/>
            <w:gridSpan w:val="3"/>
          </w:tcPr>
          <w:p w14:paraId="4C757B41" w14:textId="77777777" w:rsidR="00246F1E" w:rsidRDefault="003B19A8" w:rsidP="00BC19D0">
            <w:pPr>
              <w:jc w:val="both"/>
              <w:rPr>
                <w:rFonts w:ascii="Arial" w:hAnsi="Arial" w:cs="Arial"/>
                <w:sz w:val="18"/>
                <w:szCs w:val="18"/>
              </w:rPr>
            </w:pPr>
            <w:r>
              <w:rPr>
                <w:rFonts w:ascii="Arial" w:hAnsi="Arial" w:cs="Arial"/>
                <w:sz w:val="18"/>
                <w:szCs w:val="18"/>
              </w:rPr>
              <w:t>Bestätigung, dass die technischen und personellen Ressourcen angemessen sind</w:t>
            </w:r>
          </w:p>
        </w:tc>
        <w:tc>
          <w:tcPr>
            <w:tcW w:w="3382" w:type="dxa"/>
          </w:tcPr>
          <w:p w14:paraId="5206548A" w14:textId="77777777" w:rsidR="00246F1E" w:rsidRPr="009872F3" w:rsidRDefault="00246F1E" w:rsidP="00BC19D0">
            <w:pPr>
              <w:jc w:val="both"/>
              <w:rPr>
                <w:rFonts w:ascii="Arial" w:hAnsi="Arial" w:cs="Arial"/>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646AA8C5" w14:textId="77777777" w:rsidTr="00BC19D0">
        <w:tc>
          <w:tcPr>
            <w:tcW w:w="5798" w:type="dxa"/>
            <w:gridSpan w:val="3"/>
          </w:tcPr>
          <w:p w14:paraId="2F074566" w14:textId="77777777" w:rsidR="00246F1E" w:rsidRDefault="003B19A8" w:rsidP="00BC19D0">
            <w:pPr>
              <w:jc w:val="both"/>
              <w:rPr>
                <w:rFonts w:ascii="Arial" w:hAnsi="Arial" w:cs="Arial"/>
                <w:sz w:val="18"/>
                <w:szCs w:val="18"/>
              </w:rPr>
            </w:pPr>
            <w:r>
              <w:rPr>
                <w:rFonts w:ascii="Arial" w:hAnsi="Arial" w:cs="Arial"/>
                <w:sz w:val="18"/>
                <w:szCs w:val="18"/>
              </w:rPr>
              <w:t xml:space="preserve">Bestätigung, dass die internen Verfahren und die Organisationsstruktur ein angemessenes Berichterstattungswesen </w:t>
            </w:r>
            <w:r w:rsidR="00D85688">
              <w:rPr>
                <w:rFonts w:ascii="Arial" w:hAnsi="Arial" w:cs="Arial"/>
                <w:sz w:val="18"/>
                <w:szCs w:val="18"/>
              </w:rPr>
              <w:t xml:space="preserve">der Internen Revision </w:t>
            </w:r>
            <w:r>
              <w:rPr>
                <w:rFonts w:ascii="Arial" w:hAnsi="Arial" w:cs="Arial"/>
                <w:sz w:val="18"/>
                <w:szCs w:val="18"/>
              </w:rPr>
              <w:t>sicherstellen</w:t>
            </w:r>
          </w:p>
        </w:tc>
        <w:tc>
          <w:tcPr>
            <w:tcW w:w="3382" w:type="dxa"/>
          </w:tcPr>
          <w:p w14:paraId="44FE21FC"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71B4BE89" w14:textId="77777777" w:rsidTr="00BC19D0">
        <w:tc>
          <w:tcPr>
            <w:tcW w:w="5798" w:type="dxa"/>
            <w:gridSpan w:val="3"/>
          </w:tcPr>
          <w:p w14:paraId="6AD980CE" w14:textId="15E31CFA" w:rsidR="00246F1E" w:rsidRDefault="003B19A8" w:rsidP="003B19A8">
            <w:pPr>
              <w:jc w:val="both"/>
              <w:rPr>
                <w:rFonts w:ascii="Arial" w:hAnsi="Arial" w:cs="Arial"/>
                <w:sz w:val="18"/>
                <w:szCs w:val="18"/>
              </w:rPr>
            </w:pPr>
            <w:r>
              <w:rPr>
                <w:rFonts w:ascii="Arial" w:hAnsi="Arial" w:cs="Arial"/>
                <w:sz w:val="18"/>
                <w:szCs w:val="18"/>
              </w:rPr>
              <w:t xml:space="preserve">Bestätigung, dass der Prüfplan der </w:t>
            </w:r>
            <w:r w:rsidR="00D85688">
              <w:rPr>
                <w:rFonts w:ascii="Arial" w:hAnsi="Arial" w:cs="Arial"/>
                <w:sz w:val="18"/>
                <w:szCs w:val="18"/>
              </w:rPr>
              <w:t>I</w:t>
            </w:r>
            <w:r>
              <w:rPr>
                <w:rFonts w:ascii="Arial" w:hAnsi="Arial" w:cs="Arial"/>
                <w:sz w:val="18"/>
                <w:szCs w:val="18"/>
              </w:rPr>
              <w:t>nternen Revision auf einem angemessenen risikobasierenden Ansatz beruht</w:t>
            </w:r>
            <w:r w:rsidR="00AB700D">
              <w:rPr>
                <w:rFonts w:ascii="Arial" w:hAnsi="Arial" w:cs="Arial"/>
                <w:sz w:val="18"/>
                <w:szCs w:val="18"/>
              </w:rPr>
              <w:t xml:space="preserve">, einen angemessenen </w:t>
            </w:r>
            <w:r w:rsidR="00AB700D">
              <w:rPr>
                <w:rFonts w:ascii="Arial" w:hAnsi="Arial" w:cs="Arial"/>
                <w:sz w:val="18"/>
                <w:szCs w:val="18"/>
              </w:rPr>
              <w:lastRenderedPageBreak/>
              <w:t>Zeithorizont umfasst</w:t>
            </w:r>
            <w:r>
              <w:rPr>
                <w:rFonts w:ascii="Arial" w:hAnsi="Arial" w:cs="Arial"/>
                <w:sz w:val="18"/>
                <w:szCs w:val="18"/>
              </w:rPr>
              <w:t xml:space="preserve"> und</w:t>
            </w:r>
            <w:r w:rsidR="00AB700D">
              <w:rPr>
                <w:rFonts w:ascii="Arial" w:hAnsi="Arial" w:cs="Arial"/>
                <w:sz w:val="18"/>
                <w:szCs w:val="18"/>
              </w:rPr>
              <w:t xml:space="preserve"> die Risikobeurteilung und der Prüfplan</w:t>
            </w:r>
            <w:r>
              <w:rPr>
                <w:rFonts w:ascii="Arial" w:hAnsi="Arial" w:cs="Arial"/>
                <w:sz w:val="18"/>
                <w:szCs w:val="18"/>
              </w:rPr>
              <w:t xml:space="preserve"> durch den Verwaltungsrat genehmigt w</w:t>
            </w:r>
            <w:r w:rsidR="00AB700D">
              <w:rPr>
                <w:rFonts w:ascii="Arial" w:hAnsi="Arial" w:cs="Arial"/>
                <w:sz w:val="18"/>
                <w:szCs w:val="18"/>
              </w:rPr>
              <w:t>erden</w:t>
            </w:r>
          </w:p>
        </w:tc>
        <w:tc>
          <w:tcPr>
            <w:tcW w:w="3382" w:type="dxa"/>
          </w:tcPr>
          <w:p w14:paraId="352F469D"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46F1E" w:rsidRPr="009872F3" w14:paraId="03F7F9C7" w14:textId="77777777" w:rsidTr="00BC19D0">
        <w:tc>
          <w:tcPr>
            <w:tcW w:w="5798" w:type="dxa"/>
            <w:gridSpan w:val="3"/>
          </w:tcPr>
          <w:p w14:paraId="3DFE953E" w14:textId="77777777" w:rsidR="00246F1E" w:rsidRDefault="003B19A8" w:rsidP="00BC19D0">
            <w:pPr>
              <w:jc w:val="both"/>
              <w:rPr>
                <w:rFonts w:ascii="Arial" w:hAnsi="Arial" w:cs="Arial"/>
                <w:sz w:val="18"/>
                <w:szCs w:val="18"/>
              </w:rPr>
            </w:pPr>
            <w:r>
              <w:rPr>
                <w:rFonts w:ascii="Arial" w:hAnsi="Arial" w:cs="Arial"/>
                <w:sz w:val="18"/>
                <w:szCs w:val="18"/>
              </w:rPr>
              <w:t>Bestätigung, dass ein angemessenes Mängelbeseitigungsverfahren</w:t>
            </w:r>
            <w:r w:rsidR="009C5BD3">
              <w:rPr>
                <w:rFonts w:ascii="Arial" w:hAnsi="Arial" w:cs="Arial"/>
                <w:sz w:val="18"/>
                <w:szCs w:val="18"/>
              </w:rPr>
              <w:t xml:space="preserve"> (Audit Tracking)</w:t>
            </w:r>
            <w:r>
              <w:rPr>
                <w:rFonts w:ascii="Arial" w:hAnsi="Arial" w:cs="Arial"/>
                <w:sz w:val="18"/>
                <w:szCs w:val="18"/>
              </w:rPr>
              <w:t xml:space="preserve"> existiert und effektiv angewandt wird</w:t>
            </w:r>
          </w:p>
        </w:tc>
        <w:tc>
          <w:tcPr>
            <w:tcW w:w="3382" w:type="dxa"/>
          </w:tcPr>
          <w:p w14:paraId="6AB02E95" w14:textId="77777777" w:rsidR="00246F1E" w:rsidRPr="00E109DF" w:rsidRDefault="00246F1E" w:rsidP="00BC19D0">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5B35ED21" w14:textId="77777777" w:rsidR="00246F1E" w:rsidRDefault="00246F1E" w:rsidP="00246F1E">
      <w:pPr>
        <w:jc w:val="both"/>
      </w:pPr>
    </w:p>
    <w:tbl>
      <w:tblPr>
        <w:tblStyle w:val="Tabellenraster"/>
        <w:tblW w:w="0" w:type="auto"/>
        <w:tblLook w:val="04A0" w:firstRow="1" w:lastRow="0" w:firstColumn="1" w:lastColumn="0" w:noHBand="0" w:noVBand="1"/>
      </w:tblPr>
      <w:tblGrid>
        <w:gridCol w:w="2660"/>
        <w:gridCol w:w="6520"/>
      </w:tblGrid>
      <w:tr w:rsidR="00246F1E" w:rsidRPr="00CE3194" w14:paraId="5E43048B" w14:textId="77777777" w:rsidTr="00BC19D0">
        <w:tc>
          <w:tcPr>
            <w:tcW w:w="2660" w:type="dxa"/>
          </w:tcPr>
          <w:p w14:paraId="3ED700C7" w14:textId="77777777" w:rsidR="00246F1E" w:rsidRPr="00CE3194" w:rsidRDefault="00246F1E"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9459A73" w14:textId="77777777" w:rsidR="00246F1E" w:rsidRPr="00CE3194" w:rsidRDefault="002C623F"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246F1E" w:rsidRPr="00CE3194" w14:paraId="5F932DB8" w14:textId="77777777" w:rsidTr="00BC19D0">
        <w:tc>
          <w:tcPr>
            <w:tcW w:w="2660" w:type="dxa"/>
          </w:tcPr>
          <w:p w14:paraId="4C122F5F" w14:textId="77777777" w:rsidR="00246F1E" w:rsidRPr="00CE3194" w:rsidRDefault="00246F1E" w:rsidP="00246F1E">
            <w:pPr>
              <w:jc w:val="both"/>
              <w:rPr>
                <w:rFonts w:ascii="Arial" w:hAnsi="Arial" w:cs="Arial"/>
                <w:i/>
                <w:sz w:val="20"/>
                <w:szCs w:val="20"/>
                <w:highlight w:val="lightGray"/>
              </w:rPr>
            </w:pPr>
            <w:r>
              <w:rPr>
                <w:rFonts w:ascii="Arial" w:hAnsi="Arial" w:cs="Arial"/>
                <w:i/>
                <w:sz w:val="20"/>
                <w:szCs w:val="20"/>
                <w:highlight w:val="lightGray"/>
              </w:rPr>
              <w:t xml:space="preserve">Ausgestaltung der Internen Revision </w:t>
            </w:r>
          </w:p>
        </w:tc>
        <w:tc>
          <w:tcPr>
            <w:tcW w:w="6520" w:type="dxa"/>
          </w:tcPr>
          <w:p w14:paraId="70B03869" w14:textId="78EF30B2" w:rsidR="00246F1E" w:rsidRDefault="00246F1E" w:rsidP="00BC19D0">
            <w:pPr>
              <w:pStyle w:val="Listenabsatz"/>
              <w:numPr>
                <w:ilvl w:val="1"/>
                <w:numId w:val="17"/>
              </w:numPr>
              <w:ind w:left="317" w:hanging="283"/>
              <w:jc w:val="both"/>
              <w:rPr>
                <w:rFonts w:cs="Arial"/>
                <w:i/>
                <w:szCs w:val="20"/>
                <w:highlight w:val="lightGray"/>
              </w:rPr>
            </w:pPr>
            <w:r>
              <w:rPr>
                <w:rFonts w:cs="Arial"/>
                <w:i/>
                <w:szCs w:val="20"/>
                <w:highlight w:val="lightGray"/>
              </w:rPr>
              <w:t>Die Funktion stellt sicher, dass keine Selbstprüfung stattfindet</w:t>
            </w:r>
          </w:p>
          <w:p w14:paraId="0B2C081D" w14:textId="7E3A9257" w:rsidR="009A566E" w:rsidRDefault="009A566E" w:rsidP="00BC19D0">
            <w:pPr>
              <w:pStyle w:val="Listenabsatz"/>
              <w:numPr>
                <w:ilvl w:val="1"/>
                <w:numId w:val="17"/>
              </w:numPr>
              <w:ind w:left="317" w:hanging="283"/>
              <w:jc w:val="both"/>
              <w:rPr>
                <w:rFonts w:cs="Arial"/>
                <w:i/>
                <w:szCs w:val="20"/>
                <w:highlight w:val="lightGray"/>
              </w:rPr>
            </w:pPr>
            <w:r>
              <w:rPr>
                <w:rFonts w:cs="Arial"/>
                <w:i/>
                <w:szCs w:val="20"/>
                <w:highlight w:val="lightGray"/>
              </w:rPr>
              <w:t xml:space="preserve">Die Unabhängigkeit des Leiters der internen Revision wurde mind. jährlich gegenüber dem Verwaltungsrat bestätigt. </w:t>
            </w:r>
          </w:p>
          <w:p w14:paraId="3370F960" w14:textId="77777777" w:rsidR="00246F1E" w:rsidRPr="00602B18" w:rsidRDefault="00246F1E" w:rsidP="00602B18">
            <w:pPr>
              <w:pStyle w:val="Listenabsatz"/>
              <w:numPr>
                <w:ilvl w:val="1"/>
                <w:numId w:val="17"/>
              </w:numPr>
              <w:ind w:left="317" w:hanging="283"/>
              <w:jc w:val="both"/>
              <w:rPr>
                <w:rFonts w:cs="Arial"/>
                <w:i/>
                <w:szCs w:val="20"/>
                <w:highlight w:val="lightGray"/>
              </w:rPr>
            </w:pPr>
            <w:r w:rsidRPr="00602B18">
              <w:rPr>
                <w:rFonts w:cs="Arial"/>
                <w:i/>
                <w:szCs w:val="20"/>
                <w:highlight w:val="lightGray"/>
              </w:rPr>
              <w:t>Es bestehen klare Verantwortlichkeiten und Kompetenzen</w:t>
            </w:r>
          </w:p>
          <w:p w14:paraId="101B9AA4" w14:textId="7E5BF6A8"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Funktion ist ressourcentechnisch </w:t>
            </w:r>
            <w:r w:rsidR="00AB700D">
              <w:rPr>
                <w:rFonts w:cs="Arial"/>
                <w:i/>
                <w:szCs w:val="20"/>
                <w:highlight w:val="lightGray"/>
              </w:rPr>
              <w:t xml:space="preserve">(personell und technisch) </w:t>
            </w:r>
            <w:r>
              <w:rPr>
                <w:rFonts w:cs="Arial"/>
                <w:i/>
                <w:szCs w:val="20"/>
                <w:highlight w:val="lightGray"/>
              </w:rPr>
              <w:t>angemessen ausgestattet</w:t>
            </w:r>
          </w:p>
          <w:p w14:paraId="0E0832FD" w14:textId="77777777"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Die Mitarbeiter werden regelmässig weitergebildet</w:t>
            </w:r>
          </w:p>
          <w:p w14:paraId="649862DC" w14:textId="624832B6" w:rsidR="00246F1E" w:rsidRDefault="00246F1E"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DC5168">
              <w:rPr>
                <w:rFonts w:cs="Arial"/>
                <w:i/>
                <w:szCs w:val="20"/>
                <w:highlight w:val="lightGray"/>
              </w:rPr>
              <w:t>I</w:t>
            </w:r>
            <w:r>
              <w:rPr>
                <w:rFonts w:cs="Arial"/>
                <w:i/>
                <w:szCs w:val="20"/>
                <w:highlight w:val="lightGray"/>
              </w:rPr>
              <w:t>nterne Revision kann ungefiltert an den Verwaltungsrat berichten</w:t>
            </w:r>
          </w:p>
          <w:p w14:paraId="06CE6DA0" w14:textId="0099C1F8" w:rsidR="00AB700D" w:rsidRDefault="00AB700D"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erstattet dem Verwaltungsrat regelmässig, zumindest jährlich, objektiv, vollständig, klar und zeitnah über die Prüfungstätigkeiten zumindest durch Darlegung des Prüfungsgegenstands, der Prüfungsfeststellungen und der Massnahmen Bericht. </w:t>
            </w:r>
          </w:p>
          <w:p w14:paraId="6B98CA3B" w14:textId="2B5B2286" w:rsidR="00AB700D" w:rsidRPr="00246F1E" w:rsidRDefault="00AB700D" w:rsidP="00246F1E">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 Revision verfügt über ein umfassendes und uneingeschränktes Auskunfts-, Einsichts- und Prüfrecht für sämtliche Unterlagen, Arbeitspapiere und IT-Systeme. </w:t>
            </w:r>
          </w:p>
        </w:tc>
      </w:tr>
      <w:tr w:rsidR="00246F1E" w:rsidRPr="00CE3194" w14:paraId="0F4276C9" w14:textId="77777777" w:rsidTr="00BC19D0">
        <w:tc>
          <w:tcPr>
            <w:tcW w:w="2660" w:type="dxa"/>
          </w:tcPr>
          <w:p w14:paraId="2C4DE873"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 xml:space="preserve">Prüfplan </w:t>
            </w:r>
          </w:p>
        </w:tc>
        <w:tc>
          <w:tcPr>
            <w:tcW w:w="6520" w:type="dxa"/>
          </w:tcPr>
          <w:p w14:paraId="43DB603D" w14:textId="539F88B9" w:rsidR="00246F1E" w:rsidRDefault="00246F1E"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Der Prüfplan basiert auf einem risikobasierenden Ansatz (unter Berücksichtigung von IKS, Risikomanagement, ICAAP und ILAAP)</w:t>
            </w:r>
          </w:p>
          <w:p w14:paraId="2A4D163F" w14:textId="73E3512B" w:rsidR="00AB700D" w:rsidRDefault="00AB700D"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Prüfungsplanung umfassen alle wesentlichen Geschäftsaktivitäten, Kontrollsysteme und Risiken der Bank.</w:t>
            </w:r>
          </w:p>
          <w:p w14:paraId="72ADDD79" w14:textId="77221C94" w:rsidR="00EE1AE2" w:rsidRPr="003B19A8" w:rsidRDefault="00EE1AE2" w:rsidP="00BC19D0">
            <w:pPr>
              <w:pStyle w:val="Listenabsatz"/>
              <w:numPr>
                <w:ilvl w:val="1"/>
                <w:numId w:val="17"/>
              </w:numPr>
              <w:ind w:left="317" w:hanging="283"/>
              <w:jc w:val="both"/>
              <w:rPr>
                <w:rFonts w:cs="Arial"/>
                <w:i/>
                <w:szCs w:val="20"/>
                <w:highlight w:val="lightGray"/>
              </w:rPr>
            </w:pPr>
            <w:r>
              <w:rPr>
                <w:rFonts w:cs="Arial"/>
                <w:i/>
                <w:szCs w:val="20"/>
                <w:highlight w:val="lightGray"/>
              </w:rPr>
              <w:t xml:space="preserve">Die Prüfungsplanung ist vorausschauend auf zumindest drei Jahre konzipiert. </w:t>
            </w:r>
          </w:p>
          <w:p w14:paraId="5207E38B" w14:textId="2F5EFE34" w:rsidR="00246F1E" w:rsidRPr="003B19A8" w:rsidRDefault="00AB700D" w:rsidP="00BC19D0">
            <w:pPr>
              <w:pStyle w:val="Listenabsatz"/>
              <w:numPr>
                <w:ilvl w:val="1"/>
                <w:numId w:val="17"/>
              </w:numPr>
              <w:ind w:left="317" w:hanging="283"/>
              <w:jc w:val="both"/>
              <w:rPr>
                <w:rFonts w:cs="Arial"/>
                <w:i/>
                <w:szCs w:val="20"/>
                <w:highlight w:val="lightGray"/>
              </w:rPr>
            </w:pPr>
            <w:r>
              <w:rPr>
                <w:rFonts w:cs="Arial"/>
                <w:i/>
                <w:szCs w:val="20"/>
                <w:highlight w:val="lightGray"/>
              </w:rPr>
              <w:t>Die Risikobeurteilung und d</w:t>
            </w:r>
            <w:r w:rsidR="00246F1E" w:rsidRPr="003B19A8">
              <w:rPr>
                <w:rFonts w:cs="Arial"/>
                <w:i/>
                <w:szCs w:val="20"/>
                <w:highlight w:val="lightGray"/>
              </w:rPr>
              <w:t>er Prüfplan w</w:t>
            </w:r>
            <w:r>
              <w:rPr>
                <w:rFonts w:cs="Arial"/>
                <w:i/>
                <w:szCs w:val="20"/>
                <w:highlight w:val="lightGray"/>
              </w:rPr>
              <w:t>erden</w:t>
            </w:r>
            <w:r w:rsidR="00246F1E" w:rsidRPr="003B19A8">
              <w:rPr>
                <w:rFonts w:cs="Arial"/>
                <w:i/>
                <w:szCs w:val="20"/>
                <w:highlight w:val="lightGray"/>
              </w:rPr>
              <w:t xml:space="preserve"> vom Verwaltungsrat </w:t>
            </w:r>
            <w:r w:rsidR="003B19A8" w:rsidRPr="003B19A8">
              <w:rPr>
                <w:rFonts w:cs="Arial"/>
                <w:i/>
                <w:szCs w:val="20"/>
                <w:highlight w:val="lightGray"/>
              </w:rPr>
              <w:t xml:space="preserve">jährlich </w:t>
            </w:r>
            <w:r w:rsidR="00246F1E" w:rsidRPr="003B19A8">
              <w:rPr>
                <w:rFonts w:cs="Arial"/>
                <w:i/>
                <w:szCs w:val="20"/>
                <w:highlight w:val="lightGray"/>
              </w:rPr>
              <w:t>genehmigt</w:t>
            </w:r>
          </w:p>
          <w:p w14:paraId="13B12E1B" w14:textId="77777777" w:rsidR="003B19A8" w:rsidRPr="003B19A8" w:rsidRDefault="003B19A8" w:rsidP="00BC19D0">
            <w:pPr>
              <w:pStyle w:val="Listenabsatz"/>
              <w:numPr>
                <w:ilvl w:val="1"/>
                <w:numId w:val="17"/>
              </w:numPr>
              <w:ind w:left="317" w:hanging="283"/>
              <w:jc w:val="both"/>
              <w:rPr>
                <w:rFonts w:cs="Arial"/>
                <w:i/>
                <w:szCs w:val="20"/>
                <w:highlight w:val="lightGray"/>
              </w:rPr>
            </w:pPr>
            <w:r w:rsidRPr="003B19A8">
              <w:rPr>
                <w:rFonts w:cs="Arial"/>
                <w:i/>
                <w:szCs w:val="20"/>
                <w:highlight w:val="lightGray"/>
              </w:rPr>
              <w:t>Ad-hoc-Anpassungen des Prüfplans werden ebenfalls durch den Verwaltungsrat genehmigt</w:t>
            </w:r>
          </w:p>
        </w:tc>
      </w:tr>
      <w:tr w:rsidR="00246F1E" w:rsidRPr="00CE3194" w14:paraId="7CF741AC" w14:textId="77777777" w:rsidTr="00BC19D0">
        <w:tc>
          <w:tcPr>
            <w:tcW w:w="2660" w:type="dxa"/>
          </w:tcPr>
          <w:p w14:paraId="03D3C09C" w14:textId="77777777" w:rsidR="00246F1E" w:rsidRPr="003B19A8" w:rsidRDefault="00246F1E" w:rsidP="00246F1E">
            <w:pPr>
              <w:jc w:val="both"/>
              <w:rPr>
                <w:rFonts w:ascii="Arial" w:hAnsi="Arial" w:cs="Arial"/>
                <w:i/>
                <w:sz w:val="20"/>
                <w:szCs w:val="20"/>
                <w:highlight w:val="lightGray"/>
              </w:rPr>
            </w:pPr>
            <w:r w:rsidRPr="003B19A8">
              <w:rPr>
                <w:rFonts w:ascii="Arial" w:hAnsi="Arial" w:cs="Arial"/>
                <w:i/>
                <w:sz w:val="20"/>
                <w:szCs w:val="20"/>
                <w:highlight w:val="lightGray"/>
              </w:rPr>
              <w:t>Audit Tracking</w:t>
            </w:r>
          </w:p>
        </w:tc>
        <w:tc>
          <w:tcPr>
            <w:tcW w:w="6520" w:type="dxa"/>
          </w:tcPr>
          <w:p w14:paraId="6D90CE00" w14:textId="77777777" w:rsidR="00BF2060" w:rsidRDefault="003B19A8" w:rsidP="00BF2060">
            <w:pPr>
              <w:pStyle w:val="Listenabsatz"/>
              <w:numPr>
                <w:ilvl w:val="1"/>
                <w:numId w:val="17"/>
              </w:numPr>
              <w:ind w:left="317" w:hanging="283"/>
              <w:jc w:val="both"/>
              <w:rPr>
                <w:rFonts w:cs="Arial"/>
                <w:i/>
                <w:szCs w:val="20"/>
                <w:highlight w:val="lightGray"/>
              </w:rPr>
            </w:pPr>
            <w:r w:rsidRPr="003B19A8">
              <w:rPr>
                <w:rFonts w:cs="Arial"/>
                <w:i/>
                <w:szCs w:val="20"/>
                <w:highlight w:val="lightGray"/>
              </w:rPr>
              <w:t xml:space="preserve">Es </w:t>
            </w:r>
            <w:r w:rsidR="006A7683">
              <w:rPr>
                <w:rFonts w:cs="Arial"/>
                <w:i/>
                <w:szCs w:val="20"/>
                <w:highlight w:val="lightGray"/>
              </w:rPr>
              <w:t xml:space="preserve">existiert </w:t>
            </w:r>
            <w:r w:rsidRPr="003B19A8">
              <w:rPr>
                <w:rFonts w:cs="Arial"/>
                <w:i/>
                <w:szCs w:val="20"/>
                <w:highlight w:val="lightGray"/>
              </w:rPr>
              <w:t>e</w:t>
            </w:r>
            <w:r w:rsidR="006A7683">
              <w:rPr>
                <w:rFonts w:cs="Arial"/>
                <w:i/>
                <w:szCs w:val="20"/>
                <w:highlight w:val="lightGray"/>
              </w:rPr>
              <w:t>i</w:t>
            </w:r>
            <w:r w:rsidRPr="003B19A8">
              <w:rPr>
                <w:rFonts w:cs="Arial"/>
                <w:i/>
                <w:szCs w:val="20"/>
                <w:highlight w:val="lightGray"/>
              </w:rPr>
              <w:t>n angemessenes Mängelbeseitigungsverfahren</w:t>
            </w:r>
          </w:p>
          <w:p w14:paraId="673BD214" w14:textId="77777777" w:rsidR="006A7683" w:rsidRPr="00BF2060" w:rsidRDefault="006A7683" w:rsidP="00BF2060">
            <w:pPr>
              <w:pStyle w:val="Listenabsatz"/>
              <w:numPr>
                <w:ilvl w:val="1"/>
                <w:numId w:val="17"/>
              </w:numPr>
              <w:ind w:left="317" w:hanging="283"/>
              <w:jc w:val="both"/>
              <w:rPr>
                <w:rFonts w:cs="Arial"/>
                <w:i/>
                <w:szCs w:val="20"/>
                <w:highlight w:val="lightGray"/>
              </w:rPr>
            </w:pPr>
            <w:r>
              <w:rPr>
                <w:rFonts w:cs="Arial"/>
                <w:i/>
                <w:szCs w:val="20"/>
                <w:highlight w:val="lightGray"/>
              </w:rPr>
              <w:t>Das Mängelbeseitigungsverfahren wird auch effektiv angewandt</w:t>
            </w:r>
          </w:p>
        </w:tc>
      </w:tr>
    </w:tbl>
    <w:p w14:paraId="349F5FB7" w14:textId="77777777" w:rsidR="00246F1E" w:rsidRDefault="00246F1E" w:rsidP="00246F1E">
      <w:pPr>
        <w:jc w:val="both"/>
      </w:pPr>
    </w:p>
    <w:p w14:paraId="6127CF9D"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4F549599" w14:textId="77777777" w:rsidR="00F81673" w:rsidRDefault="00F81673" w:rsidP="00246F1E">
      <w:pPr>
        <w:jc w:val="both"/>
      </w:pPr>
    </w:p>
    <w:p w14:paraId="7AFBE712" w14:textId="77777777" w:rsidR="00246F1E" w:rsidRDefault="00246F1E" w:rsidP="00246F1E">
      <w:pPr>
        <w:jc w:val="both"/>
      </w:pPr>
    </w:p>
    <w:p w14:paraId="2CDC8B3C" w14:textId="77777777" w:rsidR="008C30D1" w:rsidRDefault="008C30D1" w:rsidP="006F7AB5">
      <w:pPr>
        <w:pStyle w:val="FINMAGliederungEbene3"/>
      </w:pPr>
      <w:bookmarkStart w:id="62" w:name="_Toc216425811"/>
      <w:r>
        <w:t>Neue Produkte und wichtige Änderungen</w:t>
      </w:r>
      <w:r w:rsidR="00543DCA">
        <w:t xml:space="preserve"> (GOV-7)</w:t>
      </w:r>
      <w:bookmarkEnd w:id="62"/>
    </w:p>
    <w:p w14:paraId="23D653A4" w14:textId="77777777" w:rsidR="00804EC6" w:rsidRDefault="00804EC6" w:rsidP="00804EC6">
      <w:pPr>
        <w:jc w:val="both"/>
      </w:pPr>
    </w:p>
    <w:tbl>
      <w:tblPr>
        <w:tblStyle w:val="Tabellenraster"/>
        <w:tblW w:w="0" w:type="auto"/>
        <w:tblLook w:val="04A0" w:firstRow="1" w:lastRow="0" w:firstColumn="1" w:lastColumn="0" w:noHBand="0" w:noVBand="1"/>
      </w:tblPr>
      <w:tblGrid>
        <w:gridCol w:w="1932"/>
        <w:gridCol w:w="2145"/>
        <w:gridCol w:w="1721"/>
        <w:gridCol w:w="3382"/>
      </w:tblGrid>
      <w:tr w:rsidR="00804EC6" w:rsidRPr="009872F3" w14:paraId="03EDD7E3" w14:textId="77777777" w:rsidTr="00BC19D0">
        <w:trPr>
          <w:trHeight w:val="563"/>
        </w:trPr>
        <w:tc>
          <w:tcPr>
            <w:tcW w:w="1932" w:type="dxa"/>
          </w:tcPr>
          <w:p w14:paraId="7053820F"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Nettorisiko</w:t>
            </w:r>
          </w:p>
        </w:tc>
        <w:tc>
          <w:tcPr>
            <w:tcW w:w="2145" w:type="dxa"/>
          </w:tcPr>
          <w:p w14:paraId="4EB15E3A"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578BCC0"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4EC6" w:rsidRPr="009872F3" w14:paraId="26548D85" w14:textId="77777777" w:rsidTr="00BC19D0">
        <w:trPr>
          <w:trHeight w:val="698"/>
        </w:trPr>
        <w:tc>
          <w:tcPr>
            <w:tcW w:w="1932" w:type="dxa"/>
          </w:tcPr>
          <w:p w14:paraId="567FD38A" w14:textId="20BC268A"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00E33831" w14:textId="77777777" w:rsidR="00804EC6" w:rsidRPr="006749F0" w:rsidRDefault="00804EC6" w:rsidP="00BC19D0">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EF6839" w14:textId="77777777" w:rsidR="00804EC6" w:rsidRPr="009872F3" w:rsidRDefault="00804EC6" w:rsidP="00BC19D0">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267E23EF" w14:textId="77777777" w:rsidR="00804EC6" w:rsidRDefault="00804EC6" w:rsidP="00BC19D0">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503542E8" w14:textId="77777777" w:rsidR="00804EC6" w:rsidRPr="006749F0" w:rsidRDefault="00804EC6" w:rsidP="00BC19D0">
            <w:pPr>
              <w:jc w:val="both"/>
              <w:rPr>
                <w:rFonts w:ascii="Arial" w:hAnsi="Arial" w:cs="Arial"/>
                <w:i/>
                <w:sz w:val="18"/>
                <w:szCs w:val="18"/>
              </w:rPr>
            </w:pPr>
            <w:r w:rsidRPr="006749F0">
              <w:rPr>
                <w:rFonts w:ascii="Arial" w:hAnsi="Arial" w:cs="Arial"/>
                <w:i/>
                <w:sz w:val="18"/>
                <w:szCs w:val="18"/>
                <w:highlight w:val="yellow"/>
              </w:rPr>
              <w:t>Jahr</w:t>
            </w:r>
          </w:p>
        </w:tc>
      </w:tr>
      <w:tr w:rsidR="00804EC6" w:rsidRPr="00E54B17" w14:paraId="046BC632" w14:textId="77777777" w:rsidTr="00BC19D0">
        <w:trPr>
          <w:trHeight w:val="636"/>
        </w:trPr>
        <w:tc>
          <w:tcPr>
            <w:tcW w:w="9180" w:type="dxa"/>
            <w:gridSpan w:val="4"/>
          </w:tcPr>
          <w:p w14:paraId="14C5F133" w14:textId="77777777" w:rsidR="00804EC6" w:rsidRDefault="00804EC6" w:rsidP="00BC19D0">
            <w:pPr>
              <w:jc w:val="both"/>
              <w:rPr>
                <w:rFonts w:ascii="Arial" w:hAnsi="Arial" w:cs="Arial"/>
                <w:sz w:val="18"/>
                <w:szCs w:val="18"/>
              </w:rPr>
            </w:pPr>
          </w:p>
          <w:p w14:paraId="08C2E8C1" w14:textId="77777777" w:rsidR="00804EC6" w:rsidRPr="00F60909" w:rsidRDefault="00804EC6" w:rsidP="00BC19D0">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3867E292" w14:textId="236B7642" w:rsidR="00804EC6" w:rsidRPr="00A938AE" w:rsidRDefault="000305E7" w:rsidP="00804EC6">
            <w:pPr>
              <w:jc w:val="both"/>
              <w:rPr>
                <w:rFonts w:ascii="Arial" w:hAnsi="Arial" w:cs="Arial"/>
                <w:sz w:val="18"/>
                <w:szCs w:val="18"/>
              </w:rPr>
            </w:pPr>
            <w:r w:rsidRPr="00287F87">
              <w:rPr>
                <w:rFonts w:ascii="Arial" w:hAnsi="Arial" w:cs="Arial"/>
                <w:sz w:val="18"/>
                <w:szCs w:val="18"/>
                <w:highlight w:val="yellow"/>
              </w:rPr>
              <w:t>Art.</w:t>
            </w:r>
            <w:r w:rsidR="00DA1D9E" w:rsidRPr="00A938AE">
              <w:rPr>
                <w:rFonts w:ascii="Arial" w:hAnsi="Arial" w:cs="Arial"/>
                <w:sz w:val="18"/>
                <w:szCs w:val="18"/>
                <w:highlight w:val="yellow"/>
              </w:rPr>
              <w:t xml:space="preserve"> 65 BankG, Art.</w:t>
            </w:r>
            <w:r w:rsidRPr="00287F87">
              <w:rPr>
                <w:rFonts w:ascii="Arial" w:hAnsi="Arial" w:cs="Arial"/>
                <w:sz w:val="18"/>
                <w:szCs w:val="18"/>
                <w:highlight w:val="yellow"/>
              </w:rPr>
              <w:t xml:space="preserve"> 71 BankG, </w:t>
            </w:r>
            <w:r w:rsidR="00804EC6" w:rsidRPr="00287F87">
              <w:rPr>
                <w:rFonts w:ascii="Arial" w:hAnsi="Arial" w:cs="Arial"/>
                <w:sz w:val="18"/>
                <w:szCs w:val="18"/>
                <w:highlight w:val="yellow"/>
              </w:rPr>
              <w:t xml:space="preserve">Art. </w:t>
            </w:r>
            <w:r w:rsidR="00AE1D73" w:rsidRPr="00A938AE">
              <w:rPr>
                <w:rFonts w:ascii="Arial" w:hAnsi="Arial" w:cs="Arial"/>
                <w:sz w:val="18"/>
                <w:szCs w:val="18"/>
                <w:highlight w:val="yellow"/>
              </w:rPr>
              <w:t>10 Abs. 4</w:t>
            </w:r>
            <w:r w:rsidR="00804EC6" w:rsidRPr="00A938AE">
              <w:rPr>
                <w:rFonts w:ascii="Arial" w:hAnsi="Arial" w:cs="Arial"/>
                <w:sz w:val="18"/>
                <w:szCs w:val="18"/>
                <w:highlight w:val="yellow"/>
              </w:rPr>
              <w:t xml:space="preserve"> BankV; </w:t>
            </w:r>
            <w:r w:rsidR="00E667CF" w:rsidRPr="00A938AE">
              <w:rPr>
                <w:rFonts w:ascii="Arial" w:hAnsi="Arial" w:cs="Arial"/>
                <w:sz w:val="18"/>
                <w:szCs w:val="18"/>
                <w:highlight w:val="yellow"/>
              </w:rPr>
              <w:t xml:space="preserve">EBA/GL/2021/05; </w:t>
            </w:r>
            <w:r w:rsidR="00B13D1E" w:rsidRPr="00A938AE">
              <w:rPr>
                <w:rFonts w:ascii="Arial" w:hAnsi="Arial" w:cs="Arial"/>
                <w:sz w:val="18"/>
                <w:szCs w:val="18"/>
                <w:highlight w:val="yellow"/>
              </w:rPr>
              <w:t>EBA/GL/2022/03</w:t>
            </w:r>
          </w:p>
        </w:tc>
      </w:tr>
      <w:tr w:rsidR="00804EC6" w:rsidRPr="00E54B17" w14:paraId="359EBBF7" w14:textId="77777777" w:rsidTr="00BC19D0">
        <w:trPr>
          <w:trHeight w:val="294"/>
        </w:trPr>
        <w:tc>
          <w:tcPr>
            <w:tcW w:w="9180" w:type="dxa"/>
            <w:gridSpan w:val="4"/>
          </w:tcPr>
          <w:p w14:paraId="359F26C2" w14:textId="77777777" w:rsidR="00804EC6" w:rsidRPr="00A938AE" w:rsidRDefault="00804EC6" w:rsidP="00BC19D0">
            <w:pPr>
              <w:jc w:val="both"/>
              <w:rPr>
                <w:rFonts w:ascii="Arial" w:hAnsi="Arial" w:cs="Arial"/>
                <w:sz w:val="18"/>
                <w:szCs w:val="18"/>
              </w:rPr>
            </w:pPr>
          </w:p>
        </w:tc>
      </w:tr>
      <w:tr w:rsidR="00804EC6" w:rsidRPr="009872F3" w14:paraId="09280BA6" w14:textId="77777777" w:rsidTr="00BC19D0">
        <w:tc>
          <w:tcPr>
            <w:tcW w:w="5798" w:type="dxa"/>
            <w:gridSpan w:val="3"/>
          </w:tcPr>
          <w:p w14:paraId="7CDE29BA" w14:textId="1547CDF1" w:rsidR="00CB235D" w:rsidRDefault="00804EC6" w:rsidP="00BC19D0">
            <w:pPr>
              <w:jc w:val="both"/>
              <w:rPr>
                <w:rFonts w:ascii="Arial" w:hAnsi="Arial" w:cs="Arial"/>
                <w:sz w:val="18"/>
                <w:szCs w:val="18"/>
              </w:rPr>
            </w:pPr>
            <w:bookmarkStart w:id="63" w:name="_Hlk182838962"/>
            <w:r>
              <w:rPr>
                <w:rFonts w:ascii="Arial" w:hAnsi="Arial" w:cs="Arial"/>
                <w:sz w:val="18"/>
                <w:szCs w:val="18"/>
              </w:rPr>
              <w:t xml:space="preserve">Bestätigung, dass angemessene interne Verfahren </w:t>
            </w:r>
            <w:r w:rsidR="00CB235D">
              <w:rPr>
                <w:rFonts w:ascii="Arial" w:hAnsi="Arial" w:cs="Arial"/>
                <w:sz w:val="18"/>
                <w:szCs w:val="18"/>
              </w:rPr>
              <w:t>zur Genehmigung neuer Produkte bestehen, die die Verfahren bei der Entwicklung neuer Märkte, Produkte und Dienstleistungen</w:t>
            </w:r>
            <w:r w:rsidR="00946782">
              <w:rPr>
                <w:rFonts w:ascii="Arial" w:hAnsi="Arial" w:cs="Arial"/>
                <w:sz w:val="18"/>
                <w:szCs w:val="18"/>
              </w:rPr>
              <w:t xml:space="preserve"> sowie die Verfahren </w:t>
            </w:r>
            <w:r w:rsidR="00CB235D">
              <w:rPr>
                <w:rFonts w:ascii="Arial" w:hAnsi="Arial" w:cs="Arial"/>
                <w:sz w:val="18"/>
                <w:szCs w:val="18"/>
              </w:rPr>
              <w:t xml:space="preserve">bei </w:t>
            </w:r>
            <w:r w:rsidR="00CB235D">
              <w:rPr>
                <w:rFonts w:ascii="Arial" w:hAnsi="Arial" w:cs="Arial"/>
                <w:sz w:val="18"/>
                <w:szCs w:val="18"/>
              </w:rPr>
              <w:lastRenderedPageBreak/>
              <w:t>wesentlichen Änderungen der bestehenden Märkte, Produkte und Dienstleistungen</w:t>
            </w:r>
            <w:r w:rsidR="00946782">
              <w:rPr>
                <w:rFonts w:ascii="Arial" w:hAnsi="Arial" w:cs="Arial"/>
                <w:sz w:val="18"/>
                <w:szCs w:val="18"/>
              </w:rPr>
              <w:t xml:space="preserve">, der damit verbundenen Prozesse und Systeme </w:t>
            </w:r>
            <w:r w:rsidR="00CB235D">
              <w:rPr>
                <w:rFonts w:ascii="Arial" w:hAnsi="Arial" w:cs="Arial"/>
                <w:sz w:val="18"/>
                <w:szCs w:val="18"/>
              </w:rPr>
              <w:t>sowie</w:t>
            </w:r>
            <w:r w:rsidR="00946782">
              <w:rPr>
                <w:rFonts w:ascii="Arial" w:hAnsi="Arial" w:cs="Arial"/>
                <w:sz w:val="18"/>
                <w:szCs w:val="18"/>
              </w:rPr>
              <w:t xml:space="preserve"> die Verfahren für die Durchführung von aussergewöhnlichen Transaktionen</w:t>
            </w:r>
            <w:r w:rsidR="003F3A01">
              <w:rPr>
                <w:rFonts w:ascii="Arial" w:hAnsi="Arial" w:cs="Arial"/>
                <w:sz w:val="18"/>
                <w:szCs w:val="18"/>
              </w:rPr>
              <w:t>,</w:t>
            </w:r>
            <w:r w:rsidR="00946782">
              <w:rPr>
                <w:rFonts w:ascii="Arial" w:hAnsi="Arial" w:cs="Arial"/>
                <w:sz w:val="18"/>
                <w:szCs w:val="18"/>
              </w:rPr>
              <w:t xml:space="preserve"> beinhalten. </w:t>
            </w:r>
          </w:p>
          <w:bookmarkEnd w:id="63"/>
          <w:p w14:paraId="259DC441" w14:textId="1771AFA9" w:rsidR="00804EC6" w:rsidRPr="009872F3" w:rsidRDefault="00804EC6" w:rsidP="00BC19D0">
            <w:pPr>
              <w:jc w:val="both"/>
              <w:rPr>
                <w:rFonts w:ascii="Arial" w:hAnsi="Arial" w:cs="Arial"/>
                <w:sz w:val="18"/>
                <w:szCs w:val="18"/>
              </w:rPr>
            </w:pPr>
          </w:p>
        </w:tc>
        <w:tc>
          <w:tcPr>
            <w:tcW w:w="3382" w:type="dxa"/>
          </w:tcPr>
          <w:p w14:paraId="307EBD11" w14:textId="77777777" w:rsidR="00804EC6" w:rsidRPr="00E109DF" w:rsidRDefault="00804EC6" w:rsidP="00BC19D0">
            <w:pPr>
              <w:jc w:val="both"/>
              <w:rPr>
                <w:rFonts w:ascii="Arial" w:hAnsi="Arial" w:cs="Arial"/>
                <w:i/>
                <w:sz w:val="18"/>
                <w:szCs w:val="18"/>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05B14" w:rsidRPr="009872F3" w14:paraId="16905DC6" w14:textId="77777777" w:rsidTr="00BC19D0">
        <w:tc>
          <w:tcPr>
            <w:tcW w:w="5798" w:type="dxa"/>
            <w:gridSpan w:val="3"/>
          </w:tcPr>
          <w:p w14:paraId="6D3FDC7B" w14:textId="55DE17E0" w:rsidR="00946782" w:rsidRDefault="00946782" w:rsidP="00804EC6">
            <w:pPr>
              <w:tabs>
                <w:tab w:val="left" w:pos="4458"/>
              </w:tabs>
              <w:jc w:val="both"/>
              <w:rPr>
                <w:rFonts w:ascii="Arial" w:hAnsi="Arial" w:cs="Arial"/>
                <w:sz w:val="18"/>
                <w:szCs w:val="18"/>
              </w:rPr>
            </w:pPr>
            <w:bookmarkStart w:id="64" w:name="_Hlk182838992"/>
            <w:r>
              <w:rPr>
                <w:rFonts w:ascii="Arial" w:hAnsi="Arial" w:cs="Arial"/>
                <w:sz w:val="18"/>
                <w:szCs w:val="18"/>
              </w:rPr>
              <w:t xml:space="preserve">Bestätigung, dass angemessene interne Verfahren zur Identifikation der verbundenen Risiken und Problemstellungen </w:t>
            </w:r>
            <w:r w:rsidRPr="006D016B">
              <w:rPr>
                <w:rFonts w:ascii="Arial" w:hAnsi="Arial" w:cs="Arial"/>
                <w:sz w:val="18"/>
                <w:szCs w:val="18"/>
              </w:rPr>
              <w:t xml:space="preserve">aus der Aufnahme / </w:t>
            </w:r>
            <w:r>
              <w:rPr>
                <w:rFonts w:ascii="Arial" w:hAnsi="Arial" w:cs="Arial"/>
                <w:sz w:val="18"/>
                <w:szCs w:val="18"/>
              </w:rPr>
              <w:t>der Geschäftstätigkeit in neue Produkte oder auf neuen Märkten</w:t>
            </w:r>
            <w:r w:rsidRPr="006D016B">
              <w:rPr>
                <w:rFonts w:ascii="Arial" w:hAnsi="Arial" w:cs="Arial"/>
                <w:sz w:val="18"/>
                <w:szCs w:val="18"/>
              </w:rPr>
              <w:t xml:space="preserve"> </w:t>
            </w:r>
            <w:r>
              <w:rPr>
                <w:rFonts w:ascii="Arial" w:hAnsi="Arial" w:cs="Arial"/>
                <w:sz w:val="18"/>
                <w:szCs w:val="18"/>
              </w:rPr>
              <w:t>(inkl. Vertriebswege) bestehen sowie deren Auswirkung auf das Risikoprofil, die Eigenkapitalausstattung und der Rentabilität bewertet werden.</w:t>
            </w:r>
          </w:p>
          <w:bookmarkEnd w:id="64"/>
          <w:p w14:paraId="748CBC72" w14:textId="464EA0DC" w:rsidR="00E05B14" w:rsidRDefault="00F076CB" w:rsidP="00804EC6">
            <w:pPr>
              <w:tabs>
                <w:tab w:val="left" w:pos="4458"/>
              </w:tabs>
              <w:jc w:val="both"/>
              <w:rPr>
                <w:rFonts w:ascii="Arial" w:hAnsi="Arial" w:cs="Arial"/>
                <w:sz w:val="18"/>
                <w:szCs w:val="18"/>
              </w:rPr>
            </w:pPr>
            <w:r>
              <w:rPr>
                <w:rFonts w:ascii="Arial" w:hAnsi="Arial" w:cs="Arial"/>
                <w:sz w:val="18"/>
                <w:szCs w:val="18"/>
              </w:rPr>
              <w:t xml:space="preserve"> </w:t>
            </w:r>
          </w:p>
        </w:tc>
        <w:tc>
          <w:tcPr>
            <w:tcW w:w="3382" w:type="dxa"/>
          </w:tcPr>
          <w:p w14:paraId="56264E22" w14:textId="5B6F5BB4" w:rsidR="00E05B14" w:rsidRPr="00E109DF" w:rsidRDefault="0092356D" w:rsidP="00BC19D0">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804EC6" w:rsidRPr="00DA0A86" w14:paraId="4B928D8E" w14:textId="77777777" w:rsidTr="00BC19D0">
        <w:tc>
          <w:tcPr>
            <w:tcW w:w="5798" w:type="dxa"/>
            <w:gridSpan w:val="3"/>
          </w:tcPr>
          <w:p w14:paraId="605383F1" w14:textId="7A13AECD" w:rsidR="00804EC6" w:rsidRPr="00DA1D9E" w:rsidRDefault="00804EC6" w:rsidP="00804EC6">
            <w:pPr>
              <w:tabs>
                <w:tab w:val="left" w:pos="4458"/>
              </w:tabs>
              <w:jc w:val="both"/>
              <w:rPr>
                <w:rFonts w:ascii="Arial" w:hAnsi="Arial" w:cs="Arial"/>
                <w:sz w:val="18"/>
                <w:szCs w:val="18"/>
              </w:rPr>
            </w:pPr>
            <w:r w:rsidRPr="00DA1D9E">
              <w:rPr>
                <w:rFonts w:ascii="Arial" w:hAnsi="Arial" w:cs="Arial"/>
                <w:sz w:val="18"/>
                <w:szCs w:val="18"/>
              </w:rPr>
              <w:t>Bestätigung, dass angemessene interne Verfahren zur Identifikation und Umsetzung von rechtlichen und regulatorischen Änderungen bestehen</w:t>
            </w:r>
          </w:p>
        </w:tc>
        <w:tc>
          <w:tcPr>
            <w:tcW w:w="3382" w:type="dxa"/>
          </w:tcPr>
          <w:p w14:paraId="7EF9ADEE" w14:textId="2C82B255" w:rsidR="00804EC6" w:rsidRPr="00B13D1E" w:rsidRDefault="00804EC6" w:rsidP="00BC19D0">
            <w:pPr>
              <w:jc w:val="both"/>
              <w:rPr>
                <w:rFonts w:ascii="Arial" w:hAnsi="Arial" w:cs="Arial"/>
                <w:sz w:val="18"/>
                <w:szCs w:val="18"/>
              </w:rPr>
            </w:pPr>
            <w:r w:rsidRPr="002126B4">
              <w:rPr>
                <w:rFonts w:ascii="Arial" w:hAnsi="Arial" w:cs="Arial"/>
                <w:i/>
                <w:sz w:val="18"/>
                <w:szCs w:val="18"/>
                <w:highlight w:val="yellow"/>
              </w:rPr>
              <w:t>Ja (</w:t>
            </w:r>
            <w:r w:rsidR="0071465F" w:rsidRPr="002126B4">
              <w:rPr>
                <w:rFonts w:ascii="Arial" w:hAnsi="Arial" w:cs="Arial"/>
                <w:i/>
                <w:sz w:val="18"/>
                <w:szCs w:val="18"/>
                <w:highlight w:val="yellow"/>
              </w:rPr>
              <w:t>Detailprüfung</w:t>
            </w:r>
            <w:r w:rsidRPr="002126B4">
              <w:rPr>
                <w:rFonts w:ascii="Arial" w:hAnsi="Arial" w:cs="Arial"/>
                <w:i/>
                <w:sz w:val="18"/>
                <w:szCs w:val="18"/>
                <w:highlight w:val="yellow"/>
              </w:rPr>
              <w:t xml:space="preserve"> / Kritische Beurteilung) / Nein</w:t>
            </w:r>
          </w:p>
        </w:tc>
      </w:tr>
    </w:tbl>
    <w:p w14:paraId="504D516F" w14:textId="77777777" w:rsidR="00804EC6" w:rsidRDefault="00804EC6" w:rsidP="00804EC6">
      <w:pPr>
        <w:jc w:val="both"/>
      </w:pPr>
    </w:p>
    <w:tbl>
      <w:tblPr>
        <w:tblStyle w:val="Tabellenraster"/>
        <w:tblW w:w="0" w:type="auto"/>
        <w:tblLook w:val="04A0" w:firstRow="1" w:lastRow="0" w:firstColumn="1" w:lastColumn="0" w:noHBand="0" w:noVBand="1"/>
      </w:tblPr>
      <w:tblGrid>
        <w:gridCol w:w="2660"/>
        <w:gridCol w:w="6520"/>
      </w:tblGrid>
      <w:tr w:rsidR="00804EC6" w:rsidRPr="00CE3194" w14:paraId="6E668F65" w14:textId="77777777" w:rsidTr="00BC19D0">
        <w:tc>
          <w:tcPr>
            <w:tcW w:w="2660" w:type="dxa"/>
          </w:tcPr>
          <w:p w14:paraId="4139E8CA" w14:textId="77777777" w:rsidR="00804EC6" w:rsidRPr="00CE3194" w:rsidRDefault="00804EC6" w:rsidP="00BC19D0">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65A46293" w14:textId="77777777" w:rsidR="00804EC6" w:rsidRPr="00CE3194" w:rsidRDefault="006E2847" w:rsidP="00BC19D0">
            <w:pPr>
              <w:jc w:val="both"/>
              <w:rPr>
                <w:rFonts w:ascii="Arial" w:hAnsi="Arial" w:cs="Arial"/>
                <w:b/>
                <w:i/>
                <w:sz w:val="20"/>
                <w:szCs w:val="20"/>
                <w:highlight w:val="lightGray"/>
              </w:rPr>
            </w:pPr>
            <w:r>
              <w:rPr>
                <w:rFonts w:ascii="Arial" w:hAnsi="Arial" w:cs="Arial"/>
                <w:b/>
                <w:i/>
                <w:sz w:val="20"/>
                <w:szCs w:val="20"/>
                <w:highlight w:val="lightGray"/>
              </w:rPr>
              <w:t>Mindestp</w:t>
            </w:r>
            <w:r w:rsidRPr="00CE3194">
              <w:rPr>
                <w:rFonts w:ascii="Arial" w:hAnsi="Arial" w:cs="Arial"/>
                <w:b/>
                <w:i/>
                <w:sz w:val="20"/>
                <w:szCs w:val="20"/>
                <w:highlight w:val="lightGray"/>
              </w:rPr>
              <w:t>rüfinhalte</w:t>
            </w:r>
          </w:p>
        </w:tc>
      </w:tr>
      <w:tr w:rsidR="00804EC6" w:rsidRPr="00CE3194" w14:paraId="05E8996E" w14:textId="77777777" w:rsidTr="00BC19D0">
        <w:tc>
          <w:tcPr>
            <w:tcW w:w="2660" w:type="dxa"/>
          </w:tcPr>
          <w:p w14:paraId="6F980867" w14:textId="77777777" w:rsidR="00804EC6" w:rsidRPr="00CE3194" w:rsidRDefault="00804EC6" w:rsidP="00BC19D0">
            <w:pPr>
              <w:jc w:val="both"/>
              <w:rPr>
                <w:rFonts w:ascii="Arial" w:hAnsi="Arial" w:cs="Arial"/>
                <w:i/>
                <w:sz w:val="20"/>
                <w:szCs w:val="20"/>
                <w:highlight w:val="lightGray"/>
              </w:rPr>
            </w:pPr>
            <w:r>
              <w:rPr>
                <w:rFonts w:ascii="Arial" w:hAnsi="Arial" w:cs="Arial"/>
                <w:i/>
                <w:sz w:val="20"/>
                <w:szCs w:val="20"/>
                <w:highlight w:val="lightGray"/>
              </w:rPr>
              <w:t>Neu-Produkt-Prozess</w:t>
            </w:r>
          </w:p>
        </w:tc>
        <w:tc>
          <w:tcPr>
            <w:tcW w:w="6520" w:type="dxa"/>
          </w:tcPr>
          <w:p w14:paraId="6AFE7939" w14:textId="72D70BE1" w:rsidR="00AE1D73" w:rsidRDefault="00AE1D73" w:rsidP="0042389D">
            <w:pPr>
              <w:pStyle w:val="Listenabsatz"/>
              <w:numPr>
                <w:ilvl w:val="1"/>
                <w:numId w:val="17"/>
              </w:numPr>
              <w:ind w:left="317" w:hanging="283"/>
              <w:jc w:val="both"/>
              <w:rPr>
                <w:rFonts w:cs="Arial"/>
                <w:i/>
                <w:szCs w:val="20"/>
                <w:highlight w:val="lightGray"/>
              </w:rPr>
            </w:pPr>
            <w:r>
              <w:rPr>
                <w:rFonts w:cs="Arial"/>
                <w:i/>
                <w:szCs w:val="20"/>
                <w:highlight w:val="lightGray"/>
              </w:rPr>
              <w:t>Es bestehen Richtlinien zur Genehmigung neuer Pro</w:t>
            </w:r>
            <w:r w:rsidR="00E05B14">
              <w:rPr>
                <w:rFonts w:cs="Arial"/>
                <w:i/>
                <w:szCs w:val="20"/>
                <w:highlight w:val="lightGray"/>
              </w:rPr>
              <w:t>d</w:t>
            </w:r>
            <w:r>
              <w:rPr>
                <w:rFonts w:cs="Arial"/>
                <w:i/>
                <w:szCs w:val="20"/>
                <w:highlight w:val="lightGray"/>
              </w:rPr>
              <w:t xml:space="preserve">ukte, die die Verfahren bei der Entwicklung neuer Märkte, Produkte und Dienstleistungen; </w:t>
            </w:r>
            <w:r w:rsidR="00946782">
              <w:rPr>
                <w:rFonts w:cs="Arial"/>
                <w:i/>
                <w:szCs w:val="20"/>
                <w:highlight w:val="lightGray"/>
              </w:rPr>
              <w:t xml:space="preserve">die Verfahren </w:t>
            </w:r>
            <w:r>
              <w:rPr>
                <w:rFonts w:cs="Arial"/>
                <w:i/>
                <w:szCs w:val="20"/>
                <w:highlight w:val="lightGray"/>
              </w:rPr>
              <w:t xml:space="preserve">bei wesentlichen Änderungen der bestehenden Märkte, Produkte und Dienstleistungen, als auch der verbundenen Prozesse und Systeme sowie für die Durchführung von aussergewöhnlichen Transaktionen beinhalten. </w:t>
            </w:r>
          </w:p>
          <w:p w14:paraId="36875B38" w14:textId="2FCBF17A" w:rsidR="0042389D" w:rsidRPr="0042389D" w:rsidRDefault="00804EC6" w:rsidP="0042389D">
            <w:pPr>
              <w:pStyle w:val="Listenabsatz"/>
              <w:numPr>
                <w:ilvl w:val="1"/>
                <w:numId w:val="17"/>
              </w:numPr>
              <w:ind w:left="317" w:hanging="283"/>
              <w:jc w:val="both"/>
              <w:rPr>
                <w:rFonts w:cs="Arial"/>
                <w:i/>
                <w:szCs w:val="20"/>
                <w:highlight w:val="lightGray"/>
              </w:rPr>
            </w:pPr>
            <w:r>
              <w:rPr>
                <w:rFonts w:cs="Arial"/>
                <w:i/>
                <w:szCs w:val="20"/>
                <w:highlight w:val="lightGray"/>
              </w:rPr>
              <w:t>Es besteht ein angemessener Neu-Produkt-Prozess</w:t>
            </w:r>
            <w:r w:rsidR="00F81673">
              <w:rPr>
                <w:rFonts w:cs="Arial"/>
                <w:i/>
                <w:szCs w:val="20"/>
                <w:highlight w:val="lightGray"/>
              </w:rPr>
              <w:t xml:space="preserve"> zur Identifikation, Messung, Bewirtschaftung und Überwachung von Auswirkungen </w:t>
            </w:r>
            <w:r w:rsidR="00E05B14">
              <w:rPr>
                <w:rFonts w:cs="Arial"/>
                <w:i/>
                <w:szCs w:val="20"/>
                <w:highlight w:val="lightGray"/>
              </w:rPr>
              <w:t xml:space="preserve">(Risiken, Problemstellungen) </w:t>
            </w:r>
            <w:r w:rsidR="00F81673">
              <w:rPr>
                <w:rFonts w:cs="Arial"/>
                <w:i/>
                <w:szCs w:val="20"/>
                <w:highlight w:val="lightGray"/>
              </w:rPr>
              <w:t xml:space="preserve">aus der </w:t>
            </w:r>
            <w:r w:rsidR="00E05B14">
              <w:rPr>
                <w:rFonts w:cs="Arial"/>
                <w:i/>
                <w:szCs w:val="20"/>
                <w:highlight w:val="lightGray"/>
              </w:rPr>
              <w:t xml:space="preserve">Aufnahme </w:t>
            </w:r>
            <w:r w:rsidR="00F81673">
              <w:rPr>
                <w:rFonts w:cs="Arial"/>
                <w:i/>
                <w:szCs w:val="20"/>
                <w:highlight w:val="lightGray"/>
              </w:rPr>
              <w:t>/ Änderung von Geschäftsaktivitäten / Produkten</w:t>
            </w:r>
            <w:r w:rsidR="00E05B14">
              <w:rPr>
                <w:rFonts w:cs="Arial"/>
                <w:i/>
                <w:szCs w:val="20"/>
                <w:highlight w:val="lightGray"/>
              </w:rPr>
              <w:t xml:space="preserve"> / Märkte</w:t>
            </w:r>
            <w:r w:rsidR="00F81673">
              <w:rPr>
                <w:rFonts w:cs="Arial"/>
                <w:i/>
                <w:szCs w:val="20"/>
                <w:highlight w:val="lightGray"/>
              </w:rPr>
              <w:t xml:space="preserve"> </w:t>
            </w:r>
            <w:r w:rsidR="00E05B14">
              <w:rPr>
                <w:rFonts w:cs="Arial"/>
                <w:i/>
                <w:szCs w:val="20"/>
                <w:highlight w:val="lightGray"/>
              </w:rPr>
              <w:t>auf das Risikoprofil, die Eigenkapitelausstattung und die Rentabilität</w:t>
            </w:r>
          </w:p>
          <w:p w14:paraId="01C33A4E" w14:textId="77777777" w:rsidR="00804EC6"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39A07656" w14:textId="4FAF9900" w:rsidR="00F81673" w:rsidRDefault="00F81673" w:rsidP="00CB3EE6">
            <w:pPr>
              <w:pStyle w:val="Listenabsatz"/>
              <w:numPr>
                <w:ilvl w:val="1"/>
                <w:numId w:val="17"/>
              </w:numPr>
              <w:ind w:left="317" w:hanging="283"/>
              <w:jc w:val="both"/>
              <w:rPr>
                <w:rFonts w:cs="Arial"/>
                <w:i/>
                <w:szCs w:val="20"/>
                <w:highlight w:val="lightGray"/>
              </w:rPr>
            </w:pPr>
            <w:r w:rsidRPr="00CB3EE6">
              <w:rPr>
                <w:rFonts w:cs="Arial"/>
                <w:i/>
                <w:szCs w:val="20"/>
                <w:highlight w:val="lightGray"/>
              </w:rPr>
              <w:t xml:space="preserve">Die internen Verfahren für die Einführung neuer Produkte und/oder Märkte </w:t>
            </w:r>
            <w:r w:rsidR="0042389D">
              <w:rPr>
                <w:rFonts w:cs="Arial"/>
                <w:i/>
                <w:szCs w:val="20"/>
                <w:highlight w:val="lightGray"/>
              </w:rPr>
              <w:t>sowie von Änderungen bestehender Produkte</w:t>
            </w:r>
            <w:r w:rsidR="00E05B14">
              <w:rPr>
                <w:rFonts w:cs="Arial"/>
                <w:i/>
                <w:szCs w:val="20"/>
                <w:highlight w:val="lightGray"/>
              </w:rPr>
              <w:t>, Prozessen und Systemen</w:t>
            </w:r>
            <w:r w:rsidR="0099798B">
              <w:rPr>
                <w:rFonts w:cs="Arial"/>
                <w:i/>
                <w:szCs w:val="20"/>
                <w:highlight w:val="lightGray"/>
              </w:rPr>
              <w:t xml:space="preserve"> </w:t>
            </w:r>
            <w:r>
              <w:rPr>
                <w:rFonts w:cs="Arial"/>
                <w:i/>
                <w:szCs w:val="20"/>
                <w:highlight w:val="lightGray"/>
              </w:rPr>
              <w:t>stellen sicher, dass die Risikomanagementfunktion und die Compliance-Funktion angemessen eingebunden werden</w:t>
            </w:r>
          </w:p>
          <w:p w14:paraId="4F453069" w14:textId="77777777" w:rsidR="00804EC6" w:rsidRDefault="00804EC6" w:rsidP="00BC19D0">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Einhaltung bestehender Risikostrategien und Limiten sicher</w:t>
            </w:r>
          </w:p>
          <w:p w14:paraId="3402FC30" w14:textId="77777777" w:rsidR="00E05B14" w:rsidRDefault="00E05B14" w:rsidP="00BC19D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Geschäftstätigkeit erst dann aufgenommen wird, wenn angemessene quantitative und qualitative Ressourcen für die Steuerung der damit verbundenen Risiken bestehen. </w:t>
            </w:r>
          </w:p>
          <w:p w14:paraId="5BE89D54" w14:textId="7730A91B" w:rsidR="002A5D21" w:rsidRPr="00246F1E" w:rsidRDefault="002A5D21" w:rsidP="002A5D21">
            <w:pPr>
              <w:pStyle w:val="Listenabsatz"/>
              <w:numPr>
                <w:ilvl w:val="1"/>
                <w:numId w:val="17"/>
              </w:numPr>
              <w:ind w:left="317" w:hanging="283"/>
              <w:jc w:val="both"/>
              <w:rPr>
                <w:rFonts w:cs="Arial"/>
                <w:i/>
                <w:szCs w:val="20"/>
                <w:highlight w:val="lightGray"/>
              </w:rPr>
            </w:pPr>
            <w:r w:rsidRPr="0099798B">
              <w:rPr>
                <w:rFonts w:cs="Arial"/>
                <w:i/>
                <w:szCs w:val="20"/>
                <w:highlight w:val="lightGray"/>
              </w:rPr>
              <w:t>ESG-</w:t>
            </w:r>
            <w:r w:rsidR="00DA1022" w:rsidRPr="0099798B">
              <w:rPr>
                <w:rFonts w:cs="Arial"/>
                <w:i/>
                <w:szCs w:val="20"/>
                <w:highlight w:val="lightGray"/>
              </w:rPr>
              <w:t>R</w:t>
            </w:r>
            <w:r w:rsidRPr="0099798B">
              <w:rPr>
                <w:rFonts w:cs="Arial"/>
                <w:i/>
                <w:szCs w:val="20"/>
                <w:highlight w:val="lightGray"/>
              </w:rPr>
              <w:t>isiken werden angemessen berücksichtigt</w:t>
            </w:r>
          </w:p>
        </w:tc>
      </w:tr>
      <w:tr w:rsidR="00804EC6" w:rsidRPr="00CE3194" w14:paraId="523011B3" w14:textId="77777777" w:rsidTr="00BC19D0">
        <w:tc>
          <w:tcPr>
            <w:tcW w:w="2660" w:type="dxa"/>
          </w:tcPr>
          <w:p w14:paraId="4752B261" w14:textId="6BA5F4CB" w:rsidR="00804EC6" w:rsidRPr="00DA1D9E" w:rsidRDefault="00804EC6" w:rsidP="00BC19D0">
            <w:pPr>
              <w:jc w:val="both"/>
              <w:rPr>
                <w:rFonts w:ascii="Arial" w:hAnsi="Arial" w:cs="Arial"/>
                <w:i/>
                <w:sz w:val="20"/>
                <w:szCs w:val="20"/>
                <w:highlight w:val="lightGray"/>
              </w:rPr>
            </w:pPr>
            <w:bookmarkStart w:id="65" w:name="_Hlk173358466"/>
            <w:r w:rsidRPr="00DA1D9E">
              <w:rPr>
                <w:rFonts w:ascii="Arial" w:hAnsi="Arial" w:cs="Arial"/>
                <w:i/>
                <w:sz w:val="20"/>
                <w:szCs w:val="20"/>
                <w:highlight w:val="lightGray"/>
              </w:rPr>
              <w:t>Rechtliche und regulatorische Änderungen</w:t>
            </w:r>
          </w:p>
        </w:tc>
        <w:tc>
          <w:tcPr>
            <w:tcW w:w="6520" w:type="dxa"/>
          </w:tcPr>
          <w:p w14:paraId="4A920D87" w14:textId="6430BB43" w:rsidR="00804EC6" w:rsidRPr="00B13D1E" w:rsidRDefault="00804EC6" w:rsidP="00BC19D0">
            <w:pPr>
              <w:pStyle w:val="Listenabsatz"/>
              <w:numPr>
                <w:ilvl w:val="1"/>
                <w:numId w:val="17"/>
              </w:numPr>
              <w:ind w:left="317" w:hanging="283"/>
              <w:jc w:val="both"/>
              <w:rPr>
                <w:rFonts w:cs="Arial"/>
                <w:i/>
                <w:szCs w:val="20"/>
                <w:highlight w:val="lightGray"/>
              </w:rPr>
            </w:pPr>
            <w:r w:rsidRPr="002126B4">
              <w:rPr>
                <w:rFonts w:cs="Arial"/>
                <w:i/>
                <w:szCs w:val="20"/>
                <w:highlight w:val="lightGray"/>
              </w:rPr>
              <w:t>Es besteh</w:t>
            </w:r>
            <w:r w:rsidRPr="00B13D1E">
              <w:rPr>
                <w:rFonts w:cs="Arial"/>
                <w:i/>
                <w:szCs w:val="20"/>
                <w:highlight w:val="lightGray"/>
              </w:rPr>
              <w:t xml:space="preserve">t ein angemessener Prozess zur Identifikation von relevanten rechtlichen und regulatorischen Änderungen </w:t>
            </w:r>
          </w:p>
          <w:p w14:paraId="601DC929" w14:textId="3C8CD5E0" w:rsidR="00804EC6" w:rsidRPr="00B13D1E" w:rsidRDefault="00804EC6" w:rsidP="00BC19D0">
            <w:pPr>
              <w:pStyle w:val="Listenabsatz"/>
              <w:numPr>
                <w:ilvl w:val="1"/>
                <w:numId w:val="17"/>
              </w:numPr>
              <w:ind w:left="317" w:hanging="283"/>
              <w:jc w:val="both"/>
              <w:rPr>
                <w:rFonts w:cs="Arial"/>
                <w:i/>
                <w:szCs w:val="20"/>
                <w:highlight w:val="lightGray"/>
              </w:rPr>
            </w:pPr>
            <w:r w:rsidRPr="00B13D1E">
              <w:rPr>
                <w:rFonts w:cs="Arial"/>
                <w:i/>
                <w:szCs w:val="20"/>
                <w:highlight w:val="lightGray"/>
              </w:rPr>
              <w:t>Es bestehen interne Verfahren zur Durchführung einer Business Impact Analyse der relevanten Änderungen</w:t>
            </w:r>
          </w:p>
          <w:p w14:paraId="71BB10EB" w14:textId="6D6B09CE" w:rsidR="001E6C4C" w:rsidRPr="00576700" w:rsidRDefault="001E6C4C" w:rsidP="001E6C4C">
            <w:pPr>
              <w:pStyle w:val="Listenabsatz"/>
              <w:numPr>
                <w:ilvl w:val="1"/>
                <w:numId w:val="17"/>
              </w:numPr>
              <w:ind w:left="317" w:hanging="283"/>
              <w:jc w:val="both"/>
              <w:rPr>
                <w:rFonts w:cs="Arial"/>
                <w:i/>
                <w:szCs w:val="20"/>
                <w:highlight w:val="lightGray"/>
              </w:rPr>
            </w:pPr>
            <w:r w:rsidRPr="00A32220">
              <w:rPr>
                <w:rFonts w:cs="Arial"/>
                <w:i/>
                <w:szCs w:val="20"/>
                <w:highlight w:val="lightGray"/>
              </w:rPr>
              <w:t>Es besteht angemessenes</w:t>
            </w:r>
            <w:r w:rsidR="00390FA7" w:rsidRPr="00576700">
              <w:rPr>
                <w:rFonts w:cs="Arial"/>
                <w:i/>
                <w:szCs w:val="20"/>
                <w:highlight w:val="lightGray"/>
              </w:rPr>
              <w:t xml:space="preserve"> internes</w:t>
            </w:r>
            <w:r w:rsidRPr="00576700">
              <w:rPr>
                <w:rFonts w:cs="Arial"/>
                <w:i/>
                <w:szCs w:val="20"/>
                <w:highlight w:val="lightGray"/>
              </w:rPr>
              <w:t xml:space="preserve"> </w:t>
            </w:r>
            <w:r w:rsidR="0042389D" w:rsidRPr="00576700">
              <w:rPr>
                <w:rFonts w:cs="Arial"/>
                <w:i/>
                <w:szCs w:val="20"/>
                <w:highlight w:val="lightGray"/>
              </w:rPr>
              <w:t>Fachwissen</w:t>
            </w:r>
            <w:r w:rsidRPr="00576700">
              <w:rPr>
                <w:rFonts w:cs="Arial"/>
                <w:i/>
                <w:szCs w:val="20"/>
                <w:highlight w:val="lightGray"/>
              </w:rPr>
              <w:t xml:space="preserve"> für die Identifikation von relevanten rechtlichen und regulatorischen Änderungen und dessen Umsetzung</w:t>
            </w:r>
          </w:p>
          <w:p w14:paraId="3084FE35" w14:textId="20016540" w:rsidR="00804EC6" w:rsidRPr="00A44F5C" w:rsidRDefault="00D64584" w:rsidP="001E6C4C">
            <w:pPr>
              <w:pStyle w:val="Listenabsatz"/>
              <w:numPr>
                <w:ilvl w:val="1"/>
                <w:numId w:val="17"/>
              </w:numPr>
              <w:ind w:left="317" w:hanging="283"/>
              <w:jc w:val="both"/>
              <w:rPr>
                <w:rFonts w:cs="Arial"/>
                <w:i/>
                <w:szCs w:val="20"/>
                <w:highlight w:val="lightGray"/>
              </w:rPr>
            </w:pPr>
            <w:r w:rsidRPr="00A44F5C">
              <w:rPr>
                <w:rFonts w:cs="Arial"/>
                <w:i/>
                <w:szCs w:val="20"/>
                <w:highlight w:val="lightGray"/>
              </w:rPr>
              <w:t>Es bestehen angemessene interne Verfahren für die zeitnahe Planung und Einleitung von Massnahmen um auf die Änderungen zu reagieren</w:t>
            </w:r>
          </w:p>
          <w:p w14:paraId="79191463" w14:textId="47E65DB6" w:rsidR="00D64584" w:rsidRPr="00DA1D9E" w:rsidRDefault="00D64584" w:rsidP="00D64584">
            <w:pPr>
              <w:pStyle w:val="Listenabsatz"/>
              <w:numPr>
                <w:ilvl w:val="1"/>
                <w:numId w:val="17"/>
              </w:numPr>
              <w:ind w:left="317" w:hanging="283"/>
              <w:jc w:val="both"/>
              <w:rPr>
                <w:rFonts w:cs="Arial"/>
                <w:i/>
                <w:szCs w:val="20"/>
                <w:highlight w:val="lightGray"/>
              </w:rPr>
            </w:pPr>
            <w:r w:rsidRPr="009F1ACA">
              <w:rPr>
                <w:rFonts w:cs="Arial"/>
                <w:i/>
                <w:szCs w:val="20"/>
                <w:highlight w:val="lightGray"/>
              </w:rPr>
              <w:t>Es besteht ein angemessene</w:t>
            </w:r>
            <w:r w:rsidRPr="00DA1D9E">
              <w:rPr>
                <w:rFonts w:cs="Arial"/>
                <w:i/>
                <w:szCs w:val="20"/>
                <w:highlight w:val="lightGray"/>
              </w:rPr>
              <w:t xml:space="preserve"> Berichterstattung über rechtliche und regulatorische Änderungen</w:t>
            </w:r>
          </w:p>
        </w:tc>
      </w:tr>
      <w:bookmarkEnd w:id="65"/>
    </w:tbl>
    <w:p w14:paraId="1923E40F" w14:textId="77777777" w:rsidR="00F81673" w:rsidRDefault="00F81673" w:rsidP="00804EC6">
      <w:pPr>
        <w:jc w:val="both"/>
      </w:pPr>
    </w:p>
    <w:p w14:paraId="10F0D9BC" w14:textId="77777777" w:rsidR="00F81673" w:rsidRPr="00276C60" w:rsidRDefault="00F81673" w:rsidP="00F81673">
      <w:pPr>
        <w:jc w:val="both"/>
        <w:rPr>
          <w:rFonts w:ascii="Arial" w:hAnsi="Arial" w:cs="Arial"/>
          <w:i/>
          <w:sz w:val="20"/>
          <w:szCs w:val="20"/>
        </w:rPr>
      </w:pPr>
      <w:r w:rsidRPr="00276C60">
        <w:rPr>
          <w:rFonts w:ascii="Arial" w:hAnsi="Arial" w:cs="Arial"/>
          <w:i/>
          <w:sz w:val="20"/>
          <w:szCs w:val="20"/>
          <w:highlight w:val="yellow"/>
        </w:rPr>
        <w:t>Text</w:t>
      </w:r>
    </w:p>
    <w:p w14:paraId="02DDC350" w14:textId="77777777" w:rsidR="00804EC6" w:rsidRDefault="00804EC6" w:rsidP="00804EC6">
      <w:pPr>
        <w:jc w:val="both"/>
      </w:pPr>
    </w:p>
    <w:p w14:paraId="109A8884" w14:textId="77777777" w:rsidR="00D64584" w:rsidRDefault="00D64584" w:rsidP="00D64584">
      <w:pPr>
        <w:jc w:val="both"/>
      </w:pPr>
    </w:p>
    <w:p w14:paraId="1373E921" w14:textId="77777777" w:rsidR="008C30D1" w:rsidRDefault="008C30D1" w:rsidP="006F7AB5">
      <w:pPr>
        <w:pStyle w:val="FINMAGliederungEbene3"/>
      </w:pPr>
      <w:bookmarkStart w:id="66" w:name="_Toc216425812"/>
      <w:r>
        <w:t>Auslagerung</w:t>
      </w:r>
      <w:r w:rsidR="00B016A4">
        <w:t>en</w:t>
      </w:r>
      <w:r w:rsidR="0003063F">
        <w:t xml:space="preserve"> (GOV-8</w:t>
      </w:r>
      <w:r w:rsidR="00543DCA">
        <w:t>)</w:t>
      </w:r>
      <w:bookmarkEnd w:id="66"/>
    </w:p>
    <w:p w14:paraId="60C351CE" w14:textId="77777777" w:rsidR="006C48BB" w:rsidRDefault="006C48BB" w:rsidP="006C48BB">
      <w:pPr>
        <w:jc w:val="both"/>
      </w:pPr>
    </w:p>
    <w:tbl>
      <w:tblPr>
        <w:tblStyle w:val="Tabellenraster"/>
        <w:tblW w:w="0" w:type="auto"/>
        <w:tblLook w:val="04A0" w:firstRow="1" w:lastRow="0" w:firstColumn="1" w:lastColumn="0" w:noHBand="0" w:noVBand="1"/>
      </w:tblPr>
      <w:tblGrid>
        <w:gridCol w:w="1478"/>
        <w:gridCol w:w="2220"/>
        <w:gridCol w:w="2083"/>
        <w:gridCol w:w="3733"/>
      </w:tblGrid>
      <w:tr w:rsidR="00D83362" w:rsidRPr="009872F3" w14:paraId="11332918" w14:textId="77777777" w:rsidTr="00671DBD">
        <w:trPr>
          <w:trHeight w:val="563"/>
        </w:trPr>
        <w:tc>
          <w:tcPr>
            <w:tcW w:w="1504" w:type="dxa"/>
          </w:tcPr>
          <w:p w14:paraId="273371E2" w14:textId="77777777" w:rsidR="00D83362" w:rsidRPr="009872F3" w:rsidRDefault="00D83362" w:rsidP="00671DBD">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BA4BB59" w14:textId="77777777" w:rsidR="00D83362" w:rsidRPr="009872F3" w:rsidRDefault="00D83362" w:rsidP="00671DBD">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79B433C6" w14:textId="77777777" w:rsidR="00D83362" w:rsidRPr="009872F3" w:rsidRDefault="00D83362" w:rsidP="00671DBD">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D83362" w:rsidRPr="009872F3" w14:paraId="02BE28BE" w14:textId="77777777" w:rsidTr="00671DBD">
        <w:trPr>
          <w:trHeight w:val="698"/>
        </w:trPr>
        <w:tc>
          <w:tcPr>
            <w:tcW w:w="1504" w:type="dxa"/>
          </w:tcPr>
          <w:p w14:paraId="72BC426D" w14:textId="77777777" w:rsidR="00D83362" w:rsidRPr="006749F0" w:rsidRDefault="00D83362" w:rsidP="00671DB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3B4D3F17" w14:textId="77777777" w:rsidR="00D83362" w:rsidRPr="00CB3EE6" w:rsidRDefault="00D83362" w:rsidP="00671DBD">
            <w:pPr>
              <w:jc w:val="both"/>
              <w:rPr>
                <w:rFonts w:ascii="Arial" w:hAnsi="Arial" w:cs="Arial"/>
                <w:sz w:val="18"/>
                <w:szCs w:val="18"/>
                <w:highlight w:val="yellow"/>
              </w:rPr>
            </w:pPr>
            <w:r>
              <w:rPr>
                <w:rFonts w:ascii="Arial" w:hAnsi="Arial" w:cs="Arial"/>
                <w:sz w:val="18"/>
                <w:szCs w:val="18"/>
                <w:highlight w:val="yellow"/>
              </w:rPr>
              <w:t>Beispiel für Berichtsjahr 2019:</w:t>
            </w:r>
          </w:p>
          <w:p w14:paraId="53AE57F8" w14:textId="77777777" w:rsidR="00981CC2" w:rsidRPr="00255340" w:rsidRDefault="00981CC2" w:rsidP="00981CC2">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Auslagerungspolitik / -richtlinien</w:t>
            </w:r>
            <w:r>
              <w:rPr>
                <w:rFonts w:cs="Arial"/>
                <w:sz w:val="18"/>
                <w:szCs w:val="18"/>
                <w:highlight w:val="yellow"/>
              </w:rPr>
              <w:t xml:space="preserve"> (Kritische Beurteilung)</w:t>
            </w:r>
          </w:p>
          <w:p w14:paraId="750F5036" w14:textId="6271B0EA" w:rsidR="00D83362" w:rsidRPr="00CB3EE6" w:rsidRDefault="00981CC2" w:rsidP="00981CC2">
            <w:pPr>
              <w:pStyle w:val="Listenabsatz"/>
              <w:numPr>
                <w:ilvl w:val="1"/>
                <w:numId w:val="17"/>
              </w:numPr>
              <w:ind w:left="197" w:hanging="197"/>
              <w:jc w:val="both"/>
              <w:rPr>
                <w:rFonts w:cs="Arial"/>
                <w:sz w:val="18"/>
                <w:szCs w:val="18"/>
              </w:rPr>
            </w:pPr>
            <w:r w:rsidRPr="00255340">
              <w:rPr>
                <w:rFonts w:cs="Arial"/>
                <w:sz w:val="18"/>
                <w:szCs w:val="18"/>
                <w:highlight w:val="yellow"/>
              </w:rPr>
              <w:t>Dokumentationsanforderungen / Registerführung (Detailprüfung)</w:t>
            </w:r>
          </w:p>
        </w:tc>
        <w:tc>
          <w:tcPr>
            <w:tcW w:w="3827" w:type="dxa"/>
          </w:tcPr>
          <w:p w14:paraId="67851563" w14:textId="77777777" w:rsidR="00D83362" w:rsidRDefault="00D83362" w:rsidP="00671DBD">
            <w:pPr>
              <w:jc w:val="both"/>
              <w:rPr>
                <w:rFonts w:ascii="Arial" w:hAnsi="Arial" w:cs="Arial"/>
                <w:i/>
                <w:sz w:val="18"/>
                <w:szCs w:val="18"/>
              </w:rPr>
            </w:pPr>
            <w:r w:rsidRPr="00CB3EE6">
              <w:rPr>
                <w:rFonts w:ascii="Arial" w:hAnsi="Arial" w:cs="Arial"/>
                <w:i/>
                <w:sz w:val="18"/>
                <w:szCs w:val="18"/>
                <w:highlight w:val="yellow"/>
              </w:rPr>
              <w:t>Beispiel:</w:t>
            </w:r>
          </w:p>
          <w:p w14:paraId="07C83FD4" w14:textId="77777777" w:rsidR="00981CC2" w:rsidRPr="00024116"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2014: Analyse vor Auslagerung / Auslagerungsvereinbarungen</w:t>
            </w:r>
            <w:r>
              <w:rPr>
                <w:rFonts w:ascii="Arial" w:hAnsi="Arial" w:cs="Arial"/>
                <w:i/>
                <w:sz w:val="18"/>
                <w:szCs w:val="18"/>
                <w:highlight w:val="yellow"/>
              </w:rPr>
              <w:t xml:space="preserve"> (Kritische Beurteilung)</w:t>
            </w:r>
          </w:p>
          <w:p w14:paraId="28455DD1" w14:textId="77777777" w:rsidR="00981CC2" w:rsidRPr="00024116" w:rsidRDefault="00981CC2" w:rsidP="00981CC2">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Pr="00255340">
              <w:rPr>
                <w:rFonts w:ascii="Arial" w:hAnsi="Arial" w:cs="Arial"/>
                <w:i/>
                <w:sz w:val="18"/>
                <w:szCs w:val="18"/>
                <w:highlight w:val="yellow"/>
              </w:rPr>
              <w:t>Identifikation von Auslagerungen iVm kritischer oder wesentlicher Funktionen</w:t>
            </w:r>
            <w:r>
              <w:rPr>
                <w:rFonts w:ascii="Arial" w:hAnsi="Arial" w:cs="Arial"/>
                <w:i/>
                <w:sz w:val="18"/>
                <w:szCs w:val="18"/>
                <w:highlight w:val="yellow"/>
              </w:rPr>
              <w:t xml:space="preserve"> (Kritische Beurteilung)</w:t>
            </w:r>
          </w:p>
          <w:p w14:paraId="082CDE71" w14:textId="77777777" w:rsidR="00981CC2" w:rsidRPr="00024116"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Pr="00255340">
              <w:rPr>
                <w:rFonts w:ascii="Arial" w:hAnsi="Arial" w:cs="Arial"/>
                <w:i/>
                <w:sz w:val="18"/>
                <w:szCs w:val="18"/>
                <w:highlight w:val="yellow"/>
              </w:rPr>
              <w:t>Internes Kontrollsystem von Auslagerungen / Interne Revision der ausgelagerten Tätigkeiten</w:t>
            </w:r>
            <w:r>
              <w:rPr>
                <w:rFonts w:ascii="Arial" w:hAnsi="Arial" w:cs="Arial"/>
                <w:i/>
                <w:sz w:val="18"/>
                <w:szCs w:val="18"/>
                <w:highlight w:val="yellow"/>
              </w:rPr>
              <w:t xml:space="preserve"> (Detailprüfung)</w:t>
            </w:r>
          </w:p>
          <w:p w14:paraId="3C5E3B6A" w14:textId="77777777" w:rsidR="00981CC2" w:rsidRPr="00255340" w:rsidRDefault="00981CC2" w:rsidP="00981CC2">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Pr="00255340">
              <w:rPr>
                <w:rFonts w:ascii="Arial" w:hAnsi="Arial" w:cs="Arial"/>
                <w:i/>
                <w:sz w:val="18"/>
                <w:szCs w:val="18"/>
                <w:highlight w:val="yellow"/>
              </w:rPr>
              <w:t>Risikomanagement von Auslagerungen</w:t>
            </w:r>
            <w:r>
              <w:rPr>
                <w:rFonts w:ascii="Arial" w:hAnsi="Arial" w:cs="Arial"/>
                <w:i/>
                <w:sz w:val="18"/>
                <w:szCs w:val="18"/>
                <w:highlight w:val="yellow"/>
              </w:rPr>
              <w:t xml:space="preserve"> (Kritische Beurteilung)</w:t>
            </w:r>
          </w:p>
          <w:p w14:paraId="53F896CD" w14:textId="061A2B5A" w:rsidR="00D83362" w:rsidRPr="006749F0" w:rsidRDefault="00981CC2" w:rsidP="00981CC2">
            <w:pPr>
              <w:jc w:val="both"/>
              <w:rPr>
                <w:rFonts w:ascii="Arial" w:hAnsi="Arial" w:cs="Arial"/>
                <w:i/>
                <w:sz w:val="18"/>
                <w:szCs w:val="18"/>
              </w:rPr>
            </w:pPr>
            <w:r w:rsidRPr="00255340">
              <w:rPr>
                <w:rFonts w:ascii="Arial" w:hAnsi="Arial" w:cs="Arial"/>
                <w:i/>
                <w:sz w:val="18"/>
                <w:szCs w:val="18"/>
                <w:highlight w:val="yellow"/>
              </w:rPr>
              <w:t>2018: Ausstiegsstrategien (Detailprüfung)</w:t>
            </w:r>
          </w:p>
        </w:tc>
      </w:tr>
      <w:tr w:rsidR="00D83362" w:rsidRPr="00E54B17" w14:paraId="5258DEDF" w14:textId="77777777" w:rsidTr="00671DBD">
        <w:trPr>
          <w:trHeight w:val="133"/>
        </w:trPr>
        <w:tc>
          <w:tcPr>
            <w:tcW w:w="9740" w:type="dxa"/>
            <w:gridSpan w:val="4"/>
          </w:tcPr>
          <w:p w14:paraId="542DB493" w14:textId="77777777" w:rsidR="00D83362" w:rsidRDefault="00D83362" w:rsidP="00671DBD">
            <w:pPr>
              <w:jc w:val="both"/>
              <w:rPr>
                <w:rFonts w:ascii="Arial" w:hAnsi="Arial" w:cs="Arial"/>
                <w:sz w:val="18"/>
                <w:szCs w:val="18"/>
              </w:rPr>
            </w:pPr>
          </w:p>
          <w:p w14:paraId="7875440B" w14:textId="77777777" w:rsidR="00D83362" w:rsidRPr="00F60909" w:rsidRDefault="00D83362" w:rsidP="00671DB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5C04644" w14:textId="77777777" w:rsidR="00D83362" w:rsidRDefault="00D83362" w:rsidP="00671DBD">
            <w:pPr>
              <w:jc w:val="both"/>
              <w:rPr>
                <w:rFonts w:ascii="Arial" w:hAnsi="Arial" w:cs="Arial"/>
                <w:sz w:val="18"/>
                <w:szCs w:val="18"/>
                <w:highlight w:val="yellow"/>
              </w:rPr>
            </w:pPr>
          </w:p>
          <w:p w14:paraId="4E7A17A6" w14:textId="1B33A958" w:rsidR="00D83362" w:rsidRPr="00A938AE" w:rsidRDefault="00D83362" w:rsidP="00671DBD">
            <w:pPr>
              <w:jc w:val="both"/>
              <w:rPr>
                <w:rFonts w:ascii="Arial" w:hAnsi="Arial" w:cs="Arial"/>
                <w:sz w:val="18"/>
                <w:szCs w:val="18"/>
                <w:highlight w:val="yellow"/>
              </w:rPr>
            </w:pPr>
            <w:r w:rsidRPr="00287F87">
              <w:rPr>
                <w:rFonts w:ascii="Arial" w:hAnsi="Arial" w:cs="Arial"/>
                <w:sz w:val="18"/>
                <w:szCs w:val="18"/>
                <w:highlight w:val="yellow"/>
              </w:rPr>
              <w:t xml:space="preserve">Art. </w:t>
            </w:r>
            <w:r w:rsidR="003D5EBA" w:rsidRPr="00287F87">
              <w:rPr>
                <w:rFonts w:ascii="Arial" w:hAnsi="Arial" w:cs="Arial"/>
                <w:sz w:val="18"/>
                <w:szCs w:val="18"/>
                <w:highlight w:val="yellow"/>
              </w:rPr>
              <w:t>76</w:t>
            </w:r>
            <w:r w:rsidRPr="002561FD">
              <w:rPr>
                <w:rFonts w:ascii="Arial" w:hAnsi="Arial" w:cs="Arial"/>
                <w:sz w:val="18"/>
                <w:szCs w:val="18"/>
                <w:highlight w:val="yellow"/>
              </w:rPr>
              <w:t xml:space="preserve"> BankG; </w:t>
            </w:r>
            <w:r w:rsidR="00205653" w:rsidRPr="002561FD">
              <w:rPr>
                <w:rFonts w:ascii="Arial" w:hAnsi="Arial" w:cs="Arial"/>
                <w:sz w:val="18"/>
                <w:szCs w:val="18"/>
                <w:highlight w:val="yellow"/>
              </w:rPr>
              <w:t xml:space="preserve">Art. </w:t>
            </w:r>
            <w:r w:rsidR="003D5EBA" w:rsidRPr="00A938AE">
              <w:rPr>
                <w:rFonts w:ascii="Arial" w:hAnsi="Arial" w:cs="Arial"/>
                <w:sz w:val="18"/>
                <w:szCs w:val="18"/>
                <w:highlight w:val="yellow"/>
              </w:rPr>
              <w:t>14</w:t>
            </w:r>
            <w:r w:rsidR="00205653" w:rsidRPr="00A938AE">
              <w:rPr>
                <w:rFonts w:ascii="Arial" w:hAnsi="Arial" w:cs="Arial"/>
                <w:sz w:val="18"/>
                <w:szCs w:val="18"/>
                <w:highlight w:val="yellow"/>
              </w:rPr>
              <w:t xml:space="preserve"> BankV; </w:t>
            </w:r>
            <w:r w:rsidRPr="00A938AE">
              <w:rPr>
                <w:rFonts w:ascii="Arial" w:hAnsi="Arial" w:cs="Arial"/>
                <w:sz w:val="18"/>
                <w:szCs w:val="18"/>
                <w:highlight w:val="yellow"/>
              </w:rPr>
              <w:t xml:space="preserve">Art. </w:t>
            </w:r>
            <w:r w:rsidR="003D5EBA" w:rsidRPr="00A938AE">
              <w:rPr>
                <w:rFonts w:ascii="Arial" w:hAnsi="Arial" w:cs="Arial"/>
                <w:sz w:val="18"/>
                <w:szCs w:val="18"/>
                <w:highlight w:val="yellow"/>
              </w:rPr>
              <w:t>15</w:t>
            </w:r>
            <w:r w:rsidRPr="00A938AE">
              <w:rPr>
                <w:rFonts w:ascii="Arial" w:hAnsi="Arial" w:cs="Arial"/>
                <w:sz w:val="18"/>
                <w:szCs w:val="18"/>
                <w:highlight w:val="yellow"/>
              </w:rPr>
              <w:t xml:space="preserve"> BankV; </w:t>
            </w:r>
            <w:r w:rsidR="00D809D1" w:rsidRPr="00A938AE">
              <w:rPr>
                <w:rFonts w:ascii="Arial" w:hAnsi="Arial" w:cs="Arial"/>
                <w:sz w:val="18"/>
                <w:szCs w:val="18"/>
                <w:highlight w:val="yellow"/>
              </w:rPr>
              <w:t>EBA/GL/20</w:t>
            </w:r>
            <w:r w:rsidR="00635FFA" w:rsidRPr="00A938AE">
              <w:rPr>
                <w:rFonts w:ascii="Arial" w:hAnsi="Arial" w:cs="Arial"/>
                <w:sz w:val="18"/>
                <w:szCs w:val="18"/>
                <w:highlight w:val="yellow"/>
              </w:rPr>
              <w:t>21</w:t>
            </w:r>
            <w:r w:rsidR="00D809D1" w:rsidRPr="00A938AE">
              <w:rPr>
                <w:rFonts w:ascii="Arial" w:hAnsi="Arial" w:cs="Arial"/>
                <w:sz w:val="18"/>
                <w:szCs w:val="18"/>
                <w:highlight w:val="yellow"/>
              </w:rPr>
              <w:t>/</w:t>
            </w:r>
            <w:r w:rsidR="00635FFA" w:rsidRPr="00A938AE">
              <w:rPr>
                <w:rFonts w:ascii="Arial" w:hAnsi="Arial" w:cs="Arial"/>
                <w:sz w:val="18"/>
                <w:szCs w:val="18"/>
                <w:highlight w:val="yellow"/>
              </w:rPr>
              <w:t>05</w:t>
            </w:r>
            <w:r w:rsidR="00D809D1" w:rsidRPr="00A938AE">
              <w:rPr>
                <w:rFonts w:ascii="Arial" w:hAnsi="Arial" w:cs="Arial"/>
                <w:sz w:val="18"/>
                <w:szCs w:val="18"/>
                <w:highlight w:val="yellow"/>
              </w:rPr>
              <w:t xml:space="preserve">; </w:t>
            </w:r>
            <w:r w:rsidR="00B13D1E" w:rsidRPr="00A938AE">
              <w:rPr>
                <w:rFonts w:ascii="Arial" w:hAnsi="Arial" w:cs="Arial"/>
                <w:sz w:val="18"/>
                <w:szCs w:val="18"/>
                <w:highlight w:val="yellow"/>
              </w:rPr>
              <w:t>EBA/GL/2022/03</w:t>
            </w:r>
            <w:r w:rsidRPr="00A938AE">
              <w:rPr>
                <w:rFonts w:ascii="Arial" w:hAnsi="Arial" w:cs="Arial"/>
                <w:sz w:val="18"/>
                <w:szCs w:val="18"/>
              </w:rPr>
              <w:t xml:space="preserve">; </w:t>
            </w:r>
            <w:r w:rsidRPr="00A938AE">
              <w:rPr>
                <w:rFonts w:ascii="Arial" w:hAnsi="Arial" w:cs="Arial"/>
                <w:sz w:val="18"/>
                <w:szCs w:val="18"/>
                <w:highlight w:val="yellow"/>
              </w:rPr>
              <w:t>EBA/GL/2019/02</w:t>
            </w:r>
          </w:p>
          <w:p w14:paraId="7C548AAC" w14:textId="0A582DDF" w:rsidR="0084047C" w:rsidRPr="00A938AE" w:rsidRDefault="0084047C" w:rsidP="00671DBD">
            <w:pPr>
              <w:jc w:val="both"/>
              <w:rPr>
                <w:rFonts w:ascii="Arial" w:hAnsi="Arial" w:cs="Arial"/>
                <w:sz w:val="16"/>
                <w:szCs w:val="16"/>
                <w:highlight w:val="yellow"/>
              </w:rPr>
            </w:pPr>
          </w:p>
        </w:tc>
      </w:tr>
      <w:tr w:rsidR="00D83362" w:rsidRPr="00E54B17" w14:paraId="40B63C7A" w14:textId="77777777" w:rsidTr="00671DBD">
        <w:trPr>
          <w:trHeight w:val="294"/>
        </w:trPr>
        <w:tc>
          <w:tcPr>
            <w:tcW w:w="3775" w:type="dxa"/>
            <w:gridSpan w:val="2"/>
          </w:tcPr>
          <w:p w14:paraId="366AEA8D" w14:textId="77777777" w:rsidR="00D83362" w:rsidRPr="00A938AE" w:rsidRDefault="00D83362" w:rsidP="00671DBD">
            <w:pPr>
              <w:jc w:val="both"/>
              <w:rPr>
                <w:rFonts w:ascii="Arial" w:hAnsi="Arial" w:cs="Arial"/>
                <w:sz w:val="18"/>
                <w:szCs w:val="18"/>
              </w:rPr>
            </w:pPr>
          </w:p>
        </w:tc>
        <w:tc>
          <w:tcPr>
            <w:tcW w:w="5965" w:type="dxa"/>
            <w:gridSpan w:val="2"/>
          </w:tcPr>
          <w:p w14:paraId="3EB4FF63" w14:textId="77777777" w:rsidR="00D83362" w:rsidRPr="00A938AE" w:rsidRDefault="00D83362" w:rsidP="00671DBD">
            <w:pPr>
              <w:jc w:val="both"/>
              <w:rPr>
                <w:rFonts w:ascii="Arial" w:hAnsi="Arial" w:cs="Arial"/>
                <w:sz w:val="18"/>
                <w:szCs w:val="18"/>
              </w:rPr>
            </w:pPr>
          </w:p>
        </w:tc>
      </w:tr>
      <w:tr w:rsidR="00D83362" w:rsidRPr="009872F3" w14:paraId="1B626D34" w14:textId="77777777" w:rsidTr="00671DBD">
        <w:tc>
          <w:tcPr>
            <w:tcW w:w="5913" w:type="dxa"/>
            <w:gridSpan w:val="3"/>
          </w:tcPr>
          <w:p w14:paraId="2A3AE10C" w14:textId="77777777" w:rsidR="00D83362" w:rsidRPr="00CB3EE6" w:rsidRDefault="00D83362" w:rsidP="00671DBD">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2FD86333" w14:textId="77777777" w:rsidR="00D83362" w:rsidRPr="00C3479D" w:rsidRDefault="00D83362" w:rsidP="00671DB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83362" w:rsidRPr="009872F3" w14:paraId="07C6D057" w14:textId="77777777" w:rsidTr="00671DBD">
        <w:tc>
          <w:tcPr>
            <w:tcW w:w="5913" w:type="dxa"/>
            <w:gridSpan w:val="3"/>
          </w:tcPr>
          <w:p w14:paraId="2A0416EB" w14:textId="77777777" w:rsidR="00D83362" w:rsidRPr="009872F3" w:rsidRDefault="00D83362" w:rsidP="00671DB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79F00398" w14:textId="77777777" w:rsidR="00D83362" w:rsidRPr="00E109DF" w:rsidRDefault="00D83362" w:rsidP="00671DB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D83362" w:rsidRPr="009872F3" w14:paraId="4013777B" w14:textId="77777777" w:rsidTr="00671DBD">
        <w:tc>
          <w:tcPr>
            <w:tcW w:w="5913" w:type="dxa"/>
            <w:gridSpan w:val="3"/>
          </w:tcPr>
          <w:p w14:paraId="71333F4B" w14:textId="77777777" w:rsidR="00D83362" w:rsidRDefault="00D83362" w:rsidP="00671DB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56100818" w14:textId="77777777" w:rsidR="00D83362" w:rsidRPr="00E109DF" w:rsidRDefault="00D83362" w:rsidP="00671DB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45DB7FB4" w14:textId="77777777" w:rsidR="00D83362" w:rsidRDefault="00D83362" w:rsidP="00D83362">
      <w:pPr>
        <w:jc w:val="both"/>
      </w:pPr>
    </w:p>
    <w:p w14:paraId="5A4D2879" w14:textId="1801A415" w:rsidR="005B31AF" w:rsidRPr="009E4FE7" w:rsidRDefault="005B31AF" w:rsidP="00D83362">
      <w:pPr>
        <w:jc w:val="both"/>
        <w:rPr>
          <w:rFonts w:ascii="Arial" w:hAnsi="Arial" w:cs="Arial"/>
          <w:sz w:val="18"/>
          <w:szCs w:val="18"/>
        </w:rPr>
      </w:pPr>
      <w:r w:rsidRPr="00897ACD">
        <w:rPr>
          <w:rFonts w:ascii="Arial" w:hAnsi="Arial" w:cs="Arial"/>
          <w:sz w:val="18"/>
          <w:szCs w:val="18"/>
        </w:rPr>
        <w:t>Betreffen Aspekte des Prüffelds «Auslagerung (GOV-8)» IKT-</w:t>
      </w:r>
      <w:r>
        <w:rPr>
          <w:rFonts w:ascii="Arial" w:hAnsi="Arial" w:cs="Arial"/>
          <w:sz w:val="18"/>
          <w:szCs w:val="18"/>
        </w:rPr>
        <w:t>Dienstleistungen</w:t>
      </w:r>
      <w:r w:rsidRPr="00897ACD">
        <w:rPr>
          <w:rFonts w:ascii="Arial" w:hAnsi="Arial" w:cs="Arial"/>
          <w:sz w:val="18"/>
          <w:szCs w:val="18"/>
        </w:rPr>
        <w:t>, sind diese unter dem Prüfgebiet «</w:t>
      </w:r>
      <w:r>
        <w:rPr>
          <w:rFonts w:ascii="Arial" w:hAnsi="Arial" w:cs="Arial"/>
          <w:sz w:val="18"/>
          <w:szCs w:val="18"/>
        </w:rPr>
        <w:t>D</w:t>
      </w:r>
      <w:r w:rsidRPr="00897ACD">
        <w:rPr>
          <w:rFonts w:ascii="Arial" w:hAnsi="Arial" w:cs="Arial"/>
          <w:sz w:val="18"/>
          <w:szCs w:val="18"/>
        </w:rPr>
        <w:t>igitale operationale Resilienz» (GOV-1</w:t>
      </w:r>
      <w:r>
        <w:rPr>
          <w:rFonts w:ascii="Arial" w:hAnsi="Arial" w:cs="Arial"/>
          <w:sz w:val="18"/>
          <w:szCs w:val="18"/>
        </w:rPr>
        <w:t>2</w:t>
      </w:r>
      <w:r w:rsidRPr="00897ACD">
        <w:rPr>
          <w:rFonts w:ascii="Arial" w:hAnsi="Arial" w:cs="Arial"/>
          <w:sz w:val="18"/>
          <w:szCs w:val="18"/>
        </w:rPr>
        <w:t>) zu berücksichtigen.</w:t>
      </w:r>
    </w:p>
    <w:p w14:paraId="3656E931" w14:textId="77777777" w:rsidR="005B31AF" w:rsidRDefault="005B31AF" w:rsidP="00D83362">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D83362" w:rsidRPr="00CE3194" w14:paraId="6C2AB146" w14:textId="77777777" w:rsidTr="00671DBD">
        <w:tc>
          <w:tcPr>
            <w:tcW w:w="1668" w:type="dxa"/>
          </w:tcPr>
          <w:p w14:paraId="10BEE3F3" w14:textId="77777777" w:rsidR="00D83362" w:rsidRPr="00CE3194" w:rsidRDefault="00D83362" w:rsidP="00671DBD">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063BA6AA" w14:textId="77777777" w:rsidR="00D83362" w:rsidRPr="00CE3194" w:rsidRDefault="00D83362" w:rsidP="00671DBD">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397582E1" w14:textId="77777777" w:rsidR="00D83362" w:rsidRDefault="00D83362" w:rsidP="00671DBD">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D83362" w:rsidRPr="00CE3194" w14:paraId="6C276B17" w14:textId="77777777" w:rsidTr="00671DBD">
        <w:tc>
          <w:tcPr>
            <w:tcW w:w="1668" w:type="dxa"/>
          </w:tcPr>
          <w:p w14:paraId="3CDFCBD5" w14:textId="77777777" w:rsidR="00D83362" w:rsidRPr="005905B2" w:rsidRDefault="00D83362" w:rsidP="00671DBD">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709B7887" w14:textId="72AAE283"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Auslagerungspolitik sowie die internen Verfahren stellen die Einhaltung der </w:t>
            </w:r>
            <w:r w:rsidR="008C7E05">
              <w:rPr>
                <w:rFonts w:cs="Arial"/>
                <w:i/>
                <w:szCs w:val="20"/>
                <w:highlight w:val="lightGray"/>
              </w:rPr>
              <w:t>regulatorischen</w:t>
            </w:r>
            <w:r>
              <w:rPr>
                <w:rFonts w:cs="Arial"/>
                <w:i/>
                <w:szCs w:val="20"/>
                <w:highlight w:val="lightGray"/>
              </w:rPr>
              <w:t xml:space="preserve"> Bestimmungen sicher</w:t>
            </w:r>
          </w:p>
          <w:p w14:paraId="176BBE31" w14:textId="4BD02F51"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sind angemessen ausgestaltet und decken zumindest folgende Gesichtspunkte ab:</w:t>
            </w:r>
          </w:p>
          <w:p w14:paraId="1B6C2DE7"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Zuständigkeiten von Verwaltungsrat und Geschäftsleitung</w:t>
            </w:r>
          </w:p>
          <w:p w14:paraId="2029B111"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7A7A8ADA" w14:textId="44984C77" w:rsidR="00D83362" w:rsidRDefault="005B2CD4" w:rsidP="00671DBD">
            <w:pPr>
              <w:pStyle w:val="Listenabsatz"/>
              <w:numPr>
                <w:ilvl w:val="2"/>
                <w:numId w:val="17"/>
              </w:numPr>
              <w:ind w:left="742"/>
              <w:jc w:val="both"/>
              <w:rPr>
                <w:rFonts w:cs="Arial"/>
                <w:i/>
                <w:szCs w:val="20"/>
                <w:highlight w:val="lightGray"/>
              </w:rPr>
            </w:pPr>
            <w:r>
              <w:rPr>
                <w:rFonts w:cs="Arial"/>
                <w:i/>
                <w:szCs w:val="20"/>
                <w:highlight w:val="lightGray"/>
              </w:rPr>
              <w:t xml:space="preserve">Prozess zur </w:t>
            </w:r>
            <w:r w:rsidR="00D83362">
              <w:rPr>
                <w:rFonts w:cs="Arial"/>
                <w:i/>
                <w:szCs w:val="20"/>
                <w:highlight w:val="lightGray"/>
              </w:rPr>
              <w:t>Planung von Auslagerungsvereinbarungen</w:t>
            </w:r>
          </w:p>
          <w:p w14:paraId="4A2DB771"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56E3599E"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6AF1EDFE" w14:textId="77777777" w:rsidR="00D83362" w:rsidRDefault="00D83362" w:rsidP="00671DBD">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w:t>
            </w:r>
            <w:r>
              <w:rPr>
                <w:rFonts w:cs="Arial"/>
                <w:i/>
                <w:szCs w:val="20"/>
                <w:highlight w:val="lightGray"/>
              </w:rPr>
              <w:lastRenderedPageBreak/>
              <w:t xml:space="preserve">jede auszulagernde kritische oder wesentliche Funktion </w:t>
            </w:r>
          </w:p>
          <w:p w14:paraId="5E44232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vom Verwaltungsrat genehmigt</w:t>
            </w:r>
          </w:p>
          <w:p w14:paraId="770689ED"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50E650B8" w14:textId="77777777" w:rsidR="00D83362" w:rsidRPr="005905B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2EB373D8" w14:textId="49775A2B" w:rsidR="00D83362" w:rsidRDefault="00D83362" w:rsidP="00671DBD">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255340">
              <w:rPr>
                <w:rFonts w:cs="Arial"/>
                <w:i/>
                <w:szCs w:val="20"/>
                <w:highlight w:val="lightGray"/>
              </w:rPr>
              <w:t xml:space="preserve">eine angemessene Auslagerungspolitik zu Auslagerungen sowie interne Verfahren bestehen, die die Einhaltung der </w:t>
            </w:r>
            <w:r w:rsidR="008C7E05">
              <w:rPr>
                <w:rFonts w:cs="Arial"/>
                <w:i/>
                <w:szCs w:val="20"/>
                <w:highlight w:val="lightGray"/>
              </w:rPr>
              <w:t>regulatorischen</w:t>
            </w:r>
            <w:r w:rsidRPr="00255340">
              <w:rPr>
                <w:rFonts w:cs="Arial"/>
                <w:i/>
                <w:szCs w:val="20"/>
                <w:highlight w:val="lightGray"/>
              </w:rPr>
              <w:t xml:space="preserve"> Bestimmungen zu Auslagerungen sicherstellen</w:t>
            </w:r>
          </w:p>
          <w:p w14:paraId="356FE682" w14:textId="77777777" w:rsidR="00D83362" w:rsidRPr="000C756C"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internen Auslagerungsrichtlinien angemessen ausgestaltet sind, regelmässig überprüft und aktualisiert werden</w:t>
            </w:r>
          </w:p>
          <w:p w14:paraId="20EAD62E" w14:textId="77777777" w:rsidR="00D83362" w:rsidRPr="000C756C" w:rsidRDefault="00D83362" w:rsidP="00671DBD">
            <w:pPr>
              <w:pStyle w:val="Listenabsatz"/>
              <w:ind w:left="1440"/>
              <w:jc w:val="both"/>
              <w:rPr>
                <w:rFonts w:cs="Arial"/>
                <w:i/>
                <w:szCs w:val="20"/>
                <w:highlight w:val="lightGray"/>
              </w:rPr>
            </w:pPr>
          </w:p>
        </w:tc>
      </w:tr>
      <w:tr w:rsidR="00D83362" w:rsidRPr="00CE3194" w14:paraId="7283AA5C" w14:textId="77777777" w:rsidTr="00671DBD">
        <w:tc>
          <w:tcPr>
            <w:tcW w:w="1668" w:type="dxa"/>
          </w:tcPr>
          <w:p w14:paraId="3F443D07"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Analyse vor der Auslagerung</w:t>
            </w:r>
          </w:p>
        </w:tc>
        <w:tc>
          <w:tcPr>
            <w:tcW w:w="5313" w:type="dxa"/>
          </w:tcPr>
          <w:p w14:paraId="37E61022"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1005B2FC" w14:textId="14D36506"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w:t>
            </w:r>
            <w:r w:rsidR="00953F3E">
              <w:rPr>
                <w:rFonts w:cs="Arial"/>
                <w:i/>
                <w:szCs w:val="20"/>
                <w:highlight w:val="lightGray"/>
              </w:rPr>
              <w:t xml:space="preserve"> die </w:t>
            </w:r>
            <w:r>
              <w:rPr>
                <w:rFonts w:cs="Arial"/>
                <w:i/>
                <w:szCs w:val="20"/>
                <w:highlight w:val="lightGray"/>
              </w:rPr>
              <w:t>Risiken der Auslagerungsvereinbarung im Vorfeld ermittelt und bewertet werden</w:t>
            </w:r>
          </w:p>
          <w:p w14:paraId="45B01DBA" w14:textId="31EAB569"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w:t>
            </w:r>
            <w:r w:rsidR="00310057">
              <w:rPr>
                <w:rFonts w:cs="Arial"/>
                <w:i/>
                <w:szCs w:val="20"/>
                <w:highlight w:val="lightGray"/>
              </w:rPr>
              <w:t>*</w:t>
            </w:r>
            <w:r>
              <w:rPr>
                <w:rFonts w:cs="Arial"/>
                <w:i/>
                <w:szCs w:val="20"/>
                <w:highlight w:val="lightGray"/>
              </w:rPr>
              <w:t xml:space="preserve"> sicher</w:t>
            </w:r>
          </w:p>
          <w:p w14:paraId="62DFB565" w14:textId="3A2FA284" w:rsidR="00D83362" w:rsidRDefault="00D83362" w:rsidP="00671DBD">
            <w:pPr>
              <w:pStyle w:val="Listenabsatz"/>
              <w:numPr>
                <w:ilvl w:val="1"/>
                <w:numId w:val="17"/>
              </w:numPr>
              <w:ind w:left="317" w:hanging="283"/>
              <w:jc w:val="both"/>
              <w:rPr>
                <w:rFonts w:cs="Arial"/>
                <w:i/>
                <w:szCs w:val="20"/>
                <w:highlight w:val="lightGray"/>
              </w:rPr>
            </w:pPr>
          </w:p>
        </w:tc>
        <w:tc>
          <w:tcPr>
            <w:tcW w:w="2759" w:type="dxa"/>
          </w:tcPr>
          <w:p w14:paraId="3B3EC7CC" w14:textId="77777777" w:rsidR="00D83362" w:rsidRPr="000C756C"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D83362" w:rsidRPr="00CE3194" w14:paraId="74B01B25" w14:textId="77777777" w:rsidTr="00671DBD">
        <w:tc>
          <w:tcPr>
            <w:tcW w:w="1668" w:type="dxa"/>
          </w:tcPr>
          <w:p w14:paraId="402B6FAD"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5D681B09" w14:textId="595DCBC1"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7DE20447" w14:textId="27F45CFA"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w:t>
            </w:r>
            <w:r w:rsidR="00D9457E">
              <w:rPr>
                <w:rFonts w:cs="Arial"/>
                <w:i/>
                <w:szCs w:val="20"/>
                <w:highlight w:val="lightGray"/>
              </w:rPr>
              <w:t xml:space="preserve">der </w:t>
            </w:r>
            <w:r w:rsidR="004B6F11">
              <w:rPr>
                <w:rFonts w:cs="Arial"/>
                <w:i/>
                <w:szCs w:val="20"/>
                <w:highlight w:val="lightGray"/>
              </w:rPr>
              <w:t>Bank</w:t>
            </w:r>
            <w:r w:rsidR="004D5057">
              <w:rPr>
                <w:rFonts w:cs="Arial"/>
                <w:i/>
                <w:szCs w:val="20"/>
                <w:highlight w:val="lightGray"/>
              </w:rPr>
              <w:t xml:space="preserve"> bzw. </w:t>
            </w:r>
            <w:r w:rsidR="004B6F11" w:rsidRPr="00CE3194">
              <w:rPr>
                <w:rFonts w:cs="Arial"/>
                <w:i/>
                <w:szCs w:val="20"/>
                <w:highlight w:val="lightGray"/>
              </w:rPr>
              <w:t>der Gruppe</w:t>
            </w:r>
            <w:r w:rsidR="002A0999">
              <w:rPr>
                <w:rFonts w:cs="Arial"/>
                <w:i/>
                <w:szCs w:val="20"/>
                <w:highlight w:val="lightGray"/>
              </w:rPr>
              <w:t>, die Ziele und Massnahmen bzgl. der Informationssicherheit (Cybersicherheit, Datenlebenszyklus, Datenverschlüsselung, Standort Rechenzentren etc.), die Prozesse zur Behandlung, Eskalations- und Berichterstattung von Betriebs- und Sicherheitsvorfällen</w:t>
            </w:r>
            <w:r>
              <w:rPr>
                <w:rFonts w:cs="Arial"/>
                <w:i/>
                <w:szCs w:val="20"/>
                <w:highlight w:val="lightGray"/>
              </w:rPr>
              <w:t xml:space="preserve"> eindeutig festlegt</w:t>
            </w:r>
            <w:r w:rsidR="002A0999">
              <w:rPr>
                <w:rFonts w:cs="Arial"/>
                <w:i/>
                <w:szCs w:val="20"/>
                <w:highlight w:val="lightGray"/>
              </w:rPr>
              <w:t xml:space="preserve"> </w:t>
            </w:r>
          </w:p>
          <w:p w14:paraId="62CB1A1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6584DDE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Auslagerungsvereinbarung beinhaltet Kündigungsrechte</w:t>
            </w:r>
          </w:p>
          <w:p w14:paraId="24B4DFC4" w14:textId="5C88EE6C" w:rsidR="00DE266B" w:rsidRPr="00DE266B" w:rsidRDefault="00DE266B" w:rsidP="00DE266B">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Auslagerungsvereinbarungen stellen sicher, dass die </w:t>
            </w:r>
            <w:r w:rsidR="004B6F11">
              <w:rPr>
                <w:rFonts w:cs="Arial"/>
                <w:i/>
                <w:szCs w:val="20"/>
                <w:highlight w:val="lightGray"/>
              </w:rPr>
              <w:t xml:space="preserve">Bank bzw. </w:t>
            </w:r>
            <w:r w:rsidR="004B6F11" w:rsidRPr="00CE3194">
              <w:rPr>
                <w:rFonts w:cs="Arial"/>
                <w:i/>
                <w:szCs w:val="20"/>
                <w:highlight w:val="lightGray"/>
              </w:rPr>
              <w:t>d</w:t>
            </w:r>
            <w:r w:rsidR="004B6F11">
              <w:rPr>
                <w:rFonts w:cs="Arial"/>
                <w:i/>
                <w:szCs w:val="20"/>
                <w:highlight w:val="lightGray"/>
              </w:rPr>
              <w:t>ie</w:t>
            </w:r>
            <w:r w:rsidR="004B6F11" w:rsidRPr="00CE3194">
              <w:rPr>
                <w:rFonts w:cs="Arial"/>
                <w:i/>
                <w:szCs w:val="20"/>
                <w:highlight w:val="lightGray"/>
              </w:rPr>
              <w:t xml:space="preserve"> Gruppe</w:t>
            </w:r>
            <w:r w:rsidRPr="0070592D">
              <w:rPr>
                <w:rFonts w:cs="Arial"/>
                <w:i/>
                <w:szCs w:val="20"/>
                <w:highlight w:val="lightGray"/>
              </w:rPr>
              <w:t xml:space="preserve">, die interne und externe </w:t>
            </w:r>
            <w:r w:rsidR="009F1ACA">
              <w:rPr>
                <w:rFonts w:cs="Arial"/>
                <w:i/>
                <w:szCs w:val="20"/>
                <w:highlight w:val="lightGray"/>
              </w:rPr>
              <w:t>Revisionsstelle</w:t>
            </w:r>
            <w:r w:rsidRPr="0070592D">
              <w:rPr>
                <w:rFonts w:cs="Arial"/>
                <w:i/>
                <w:szCs w:val="20"/>
                <w:highlight w:val="lightGray"/>
              </w:rPr>
              <w:t xml:space="preserve"> sowie die FMA über uneingeschränkte Zugangs-, Informations- und Prüfungsrechte zu den ausgelagerten Diensten, Systemen und Cloud-Services </w:t>
            </w:r>
            <w:r w:rsidR="00AC2FFF">
              <w:rPr>
                <w:rFonts w:cs="Arial"/>
                <w:i/>
                <w:szCs w:val="20"/>
                <w:highlight w:val="lightGray"/>
              </w:rPr>
              <w:t xml:space="preserve">gemäss den </w:t>
            </w:r>
            <w:r w:rsidR="00301F5D">
              <w:rPr>
                <w:rFonts w:cs="Arial"/>
                <w:i/>
                <w:szCs w:val="20"/>
                <w:highlight w:val="lightGray"/>
              </w:rPr>
              <w:t>einschlägigen</w:t>
            </w:r>
            <w:r w:rsidR="00AC2FFF">
              <w:rPr>
                <w:rFonts w:cs="Arial"/>
                <w:i/>
                <w:szCs w:val="20"/>
                <w:highlight w:val="lightGray"/>
              </w:rPr>
              <w:t xml:space="preserve"> Bestimmungen verfügt</w:t>
            </w:r>
            <w:r w:rsidR="00AC2FFF" w:rsidRPr="0070592D">
              <w:rPr>
                <w:rFonts w:cs="Arial"/>
                <w:i/>
                <w:szCs w:val="20"/>
                <w:highlight w:val="lightGray"/>
              </w:rPr>
              <w:t xml:space="preserve"> </w:t>
            </w:r>
            <w:r w:rsidR="00AC2FFF">
              <w:rPr>
                <w:rFonts w:cs="Arial"/>
                <w:i/>
                <w:szCs w:val="20"/>
                <w:highlight w:val="lightGray"/>
              </w:rPr>
              <w:t xml:space="preserve">(bei kritisch/wesentlich und bei unkritisch/wesentlich) </w:t>
            </w:r>
            <w:r w:rsidRPr="0070592D">
              <w:rPr>
                <w:rFonts w:cs="Arial"/>
                <w:i/>
                <w:szCs w:val="20"/>
                <w:highlight w:val="lightGray"/>
              </w:rPr>
              <w:t>verfügt (im Falle einer Weiterverlagerung auch gegenüber Subunternehmen)</w:t>
            </w:r>
            <w:r w:rsidR="00127F95">
              <w:rPr>
                <w:rFonts w:cs="Arial"/>
                <w:i/>
                <w:szCs w:val="20"/>
                <w:highlight w:val="lightGray"/>
              </w:rPr>
              <w:t xml:space="preserve"> </w:t>
            </w:r>
          </w:p>
        </w:tc>
        <w:tc>
          <w:tcPr>
            <w:tcW w:w="2759" w:type="dxa"/>
          </w:tcPr>
          <w:p w14:paraId="49F91BE6"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schriftlichen Auslagerungsvereinbarungen angemessen ausgestaltet sind</w:t>
            </w:r>
          </w:p>
        </w:tc>
      </w:tr>
      <w:tr w:rsidR="00D83362" w:rsidRPr="00CE3194" w14:paraId="1E8E1CD6" w14:textId="77777777" w:rsidTr="00671DBD">
        <w:tc>
          <w:tcPr>
            <w:tcW w:w="1668" w:type="dxa"/>
          </w:tcPr>
          <w:p w14:paraId="230E5D6B"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 xml:space="preserve">Identifikation von </w:t>
            </w:r>
            <w:r>
              <w:rPr>
                <w:rFonts w:ascii="Arial" w:hAnsi="Arial" w:cs="Arial"/>
                <w:i/>
                <w:sz w:val="20"/>
                <w:szCs w:val="20"/>
                <w:highlight w:val="lightGray"/>
              </w:rPr>
              <w:lastRenderedPageBreak/>
              <w:t>Auslagerungen iVm kritischer oder wesentlicher Funktionen</w:t>
            </w:r>
          </w:p>
        </w:tc>
        <w:tc>
          <w:tcPr>
            <w:tcW w:w="5313" w:type="dxa"/>
          </w:tcPr>
          <w:p w14:paraId="3F4DD761" w14:textId="0C2F8D63"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internen Verfahren stellen die angemessene Identifikation der kritischen oder wesentlichen </w:t>
            </w:r>
            <w:r>
              <w:rPr>
                <w:rFonts w:cs="Arial"/>
                <w:i/>
                <w:szCs w:val="20"/>
                <w:highlight w:val="lightGray"/>
              </w:rPr>
              <w:lastRenderedPageBreak/>
              <w:t xml:space="preserve">ausgelagerten Funktionen/Prozesse/Dienstleistungen </w:t>
            </w:r>
            <w:r w:rsidR="00D9457E">
              <w:rPr>
                <w:rFonts w:cs="Arial"/>
                <w:i/>
                <w:szCs w:val="20"/>
                <w:highlight w:val="lightGray"/>
              </w:rPr>
              <w:t xml:space="preserve">der </w:t>
            </w:r>
            <w:r w:rsidR="004B6F11">
              <w:rPr>
                <w:rFonts w:cs="Arial"/>
                <w:i/>
                <w:szCs w:val="20"/>
                <w:highlight w:val="lightGray"/>
              </w:rPr>
              <w:t xml:space="preserve">Bank bzw. </w:t>
            </w:r>
            <w:r w:rsidR="004B6F11" w:rsidRPr="00CE3194">
              <w:rPr>
                <w:rFonts w:cs="Arial"/>
                <w:i/>
                <w:szCs w:val="20"/>
                <w:highlight w:val="lightGray"/>
              </w:rPr>
              <w:t>der Gruppe</w:t>
            </w:r>
            <w:r w:rsidR="004B6F11" w:rsidDel="004B6F11">
              <w:rPr>
                <w:rFonts w:cs="Arial"/>
                <w:i/>
                <w:szCs w:val="20"/>
                <w:highlight w:val="lightGray"/>
              </w:rPr>
              <w:t xml:space="preserve"> </w:t>
            </w:r>
            <w:r>
              <w:rPr>
                <w:rFonts w:cs="Arial"/>
                <w:i/>
                <w:szCs w:val="20"/>
                <w:highlight w:val="lightGray"/>
              </w:rPr>
              <w:t>gemäss regulatorischer und interner Bestimmungen sicher</w:t>
            </w:r>
          </w:p>
          <w:p w14:paraId="19E3D30F" w14:textId="174FD4E0"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w:t>
            </w:r>
            <w:r w:rsidR="00D9457E">
              <w:rPr>
                <w:rFonts w:cs="Arial"/>
                <w:i/>
                <w:szCs w:val="20"/>
                <w:highlight w:val="lightGray"/>
              </w:rPr>
              <w:t xml:space="preserve">gungsrechte für </w:t>
            </w:r>
            <w:r w:rsidR="004B6F11">
              <w:rPr>
                <w:rFonts w:cs="Arial"/>
                <w:i/>
                <w:szCs w:val="20"/>
                <w:highlight w:val="lightGray"/>
              </w:rPr>
              <w:t xml:space="preserve">Bank bzw. </w:t>
            </w:r>
            <w:r w:rsidR="004B6F11" w:rsidRPr="00CE3194">
              <w:rPr>
                <w:rFonts w:cs="Arial"/>
                <w:i/>
                <w:szCs w:val="20"/>
                <w:highlight w:val="lightGray"/>
              </w:rPr>
              <w:t>der Gruppe</w:t>
            </w:r>
            <w:r>
              <w:rPr>
                <w:rFonts w:cs="Arial"/>
                <w:i/>
                <w:szCs w:val="20"/>
                <w:highlight w:val="lightGray"/>
              </w:rPr>
              <w:t xml:space="preserve"> im Falle einer unzulässigen Weiterverlagerung durch den Dienstleister</w:t>
            </w:r>
          </w:p>
        </w:tc>
        <w:tc>
          <w:tcPr>
            <w:tcW w:w="2759" w:type="dxa"/>
          </w:tcPr>
          <w:p w14:paraId="1F98B813" w14:textId="6CA65AE8" w:rsidR="00D83362" w:rsidRPr="00255340"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 xml:space="preserve">Bestätigung, dass die internen Verfahren die </w:t>
            </w:r>
            <w:r w:rsidRPr="00255340">
              <w:rPr>
                <w:rFonts w:cs="Arial"/>
                <w:i/>
                <w:szCs w:val="20"/>
                <w:highlight w:val="lightGray"/>
              </w:rPr>
              <w:lastRenderedPageBreak/>
              <w:t xml:space="preserve">angemessene Definition der kritischen oder wesentlichen ausgelagerten Funktionen/Prozesse/Dienstleistungen </w:t>
            </w:r>
            <w:r w:rsidR="00D9457E">
              <w:rPr>
                <w:rFonts w:cs="Arial"/>
                <w:i/>
                <w:szCs w:val="20"/>
                <w:highlight w:val="lightGray"/>
              </w:rPr>
              <w:t xml:space="preserve">der </w:t>
            </w:r>
            <w:r w:rsidR="004B6F11">
              <w:rPr>
                <w:rFonts w:cs="Arial"/>
                <w:i/>
                <w:szCs w:val="20"/>
                <w:highlight w:val="lightGray"/>
              </w:rPr>
              <w:t xml:space="preserve">Bank/ bzw. </w:t>
            </w:r>
            <w:r w:rsidR="004B6F11" w:rsidRPr="00CE3194">
              <w:rPr>
                <w:rFonts w:cs="Arial"/>
                <w:i/>
                <w:szCs w:val="20"/>
                <w:highlight w:val="lightGray"/>
              </w:rPr>
              <w:t>der Gruppe</w:t>
            </w:r>
            <w:r w:rsidR="00D9457E">
              <w:rPr>
                <w:rFonts w:cs="Arial"/>
                <w:i/>
                <w:szCs w:val="20"/>
                <w:highlight w:val="lightGray"/>
              </w:rPr>
              <w:t xml:space="preserve"> </w:t>
            </w:r>
            <w:r w:rsidRPr="00255340">
              <w:rPr>
                <w:rFonts w:cs="Arial"/>
                <w:i/>
                <w:szCs w:val="20"/>
                <w:highlight w:val="lightGray"/>
              </w:rPr>
              <w:t xml:space="preserve">gemäss regulatorischer </w:t>
            </w:r>
            <w:r>
              <w:rPr>
                <w:rFonts w:cs="Arial"/>
                <w:i/>
                <w:szCs w:val="20"/>
                <w:highlight w:val="lightGray"/>
              </w:rPr>
              <w:t>und interner Bestimmungen</w:t>
            </w:r>
            <w:r w:rsidRPr="00255340">
              <w:rPr>
                <w:rFonts w:cs="Arial"/>
                <w:i/>
                <w:szCs w:val="20"/>
                <w:highlight w:val="lightGray"/>
              </w:rPr>
              <w:t xml:space="preserve"> sicherstellen</w:t>
            </w:r>
          </w:p>
          <w:p w14:paraId="1A5734B7"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D83362" w:rsidRPr="00CE3194" w14:paraId="61BFBA18" w14:textId="77777777" w:rsidTr="00671DBD">
        <w:tc>
          <w:tcPr>
            <w:tcW w:w="1668" w:type="dxa"/>
          </w:tcPr>
          <w:p w14:paraId="4CF4F4BD"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lastRenderedPageBreak/>
              <w:t>Internes Kontrollsystem von Auslagerungen</w:t>
            </w:r>
          </w:p>
        </w:tc>
        <w:tc>
          <w:tcPr>
            <w:tcW w:w="5313" w:type="dxa"/>
          </w:tcPr>
          <w:p w14:paraId="6C5DDCEF" w14:textId="4448C45B"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36A1BCBD" w14:textId="0E0634DB" w:rsidR="002A0999" w:rsidRPr="002A0999" w:rsidRDefault="002A0999" w:rsidP="002A0999">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sidR="005C5BF3">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67F1BAB4" w14:textId="1677371F"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768A5F0C" w14:textId="343F2001" w:rsidR="00784864" w:rsidRPr="00784864" w:rsidRDefault="00784864" w:rsidP="0078486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sidR="005C5BF3">
              <w:rPr>
                <w:rFonts w:cs="Arial"/>
                <w:i/>
                <w:szCs w:val="20"/>
                <w:highlight w:val="lightGray"/>
              </w:rPr>
              <w:t>Dienstleistern</w:t>
            </w:r>
            <w:r w:rsidRPr="0070592D">
              <w:rPr>
                <w:rFonts w:cs="Arial"/>
                <w:i/>
                <w:szCs w:val="20"/>
                <w:highlight w:val="lightGray"/>
              </w:rPr>
              <w:t xml:space="preserve"> (</w:t>
            </w:r>
            <w:r w:rsidR="005C5BF3">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1FEE8F95" w14:textId="34D06485" w:rsidR="00784864" w:rsidRDefault="00784864" w:rsidP="00784864">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sidR="005C5BF3">
              <w:rPr>
                <w:rFonts w:cs="Arial"/>
                <w:i/>
                <w:szCs w:val="20"/>
                <w:highlight w:val="lightGray"/>
              </w:rPr>
              <w:t>Dienstleister</w:t>
            </w:r>
            <w:r w:rsidRPr="0070592D">
              <w:rPr>
                <w:rFonts w:cs="Arial"/>
                <w:i/>
                <w:szCs w:val="20"/>
                <w:highlight w:val="lightGray"/>
              </w:rPr>
              <w:t xml:space="preserve"> ausgelagert wurden (z.B. unabhängige Beurteilungen, etc.)</w:t>
            </w:r>
          </w:p>
          <w:p w14:paraId="3F946B39"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3BE24FC3" w14:textId="73EC2FC1" w:rsidR="00D83362" w:rsidRPr="005F3514" w:rsidRDefault="00D83362" w:rsidP="00671DBD">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w:t>
            </w:r>
            <w:r w:rsidR="00992EA8">
              <w:rPr>
                <w:rFonts w:cs="Arial"/>
                <w:i/>
                <w:szCs w:val="20"/>
                <w:highlight w:val="lightGray"/>
              </w:rPr>
              <w:t xml:space="preserve"> </w:t>
            </w:r>
            <w:r w:rsidRPr="005F3514">
              <w:rPr>
                <w:rFonts w:cs="Arial"/>
                <w:i/>
                <w:szCs w:val="20"/>
                <w:highlight w:val="lightGray"/>
              </w:rPr>
              <w:t>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741AAE73" w14:textId="77777777" w:rsidR="00D83362" w:rsidRPr="00E1476E"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3EA35DF9" w14:textId="4CC29344"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w:t>
            </w:r>
            <w:r w:rsidR="00992EA8">
              <w:rPr>
                <w:rFonts w:cs="Arial"/>
                <w:i/>
                <w:szCs w:val="20"/>
                <w:highlight w:val="lightGray"/>
              </w:rPr>
              <w:t xml:space="preserve"> in Bezug auf die Nicht-Einhaltung von Kontrollen zur Überwachung der Auslagerungen</w:t>
            </w:r>
          </w:p>
          <w:p w14:paraId="1C58FE63"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1D23E925" w14:textId="77777777" w:rsidR="00D83362" w:rsidRDefault="00D83362" w:rsidP="00671DBD">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05B3E75E" w14:textId="02B2A715"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Bestätigung, dass das Interne Kontrollsystem für die Dokumentation, das Management und die Kontrolle von Auslagerungsvereinbarungen</w:t>
            </w:r>
            <w:r w:rsidR="00DE266B">
              <w:rPr>
                <w:rFonts w:cs="Arial"/>
                <w:i/>
                <w:szCs w:val="20"/>
                <w:highlight w:val="lightGray"/>
              </w:rPr>
              <w:t xml:space="preserve"> und Outsourcing-Dienstleistern/Drittanbietern</w:t>
            </w:r>
            <w:r w:rsidRPr="00255340" w:rsidDel="00BE0B96">
              <w:rPr>
                <w:rFonts w:cs="Arial"/>
                <w:i/>
                <w:szCs w:val="20"/>
                <w:highlight w:val="lightGray"/>
              </w:rPr>
              <w:t xml:space="preserve"> </w:t>
            </w:r>
            <w:r w:rsidRPr="00255340">
              <w:rPr>
                <w:rFonts w:cs="Arial"/>
                <w:i/>
                <w:szCs w:val="20"/>
                <w:highlight w:val="lightGray"/>
              </w:rPr>
              <w:t>angemessen ist und im Falle der Prüftiefe Detailprüfung effektiv angewendet wurden.</w:t>
            </w:r>
          </w:p>
        </w:tc>
      </w:tr>
      <w:tr w:rsidR="00D83362" w:rsidRPr="00CE3194" w14:paraId="5519B431" w14:textId="77777777" w:rsidTr="00671DBD">
        <w:tc>
          <w:tcPr>
            <w:tcW w:w="1668" w:type="dxa"/>
          </w:tcPr>
          <w:p w14:paraId="1353065C"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7327B084" w14:textId="64A77655"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überwacht</w:t>
            </w:r>
            <w:r w:rsidR="002A0999">
              <w:rPr>
                <w:rFonts w:cs="Arial"/>
                <w:i/>
                <w:szCs w:val="20"/>
                <w:highlight w:val="lightGray"/>
              </w:rPr>
              <w:t xml:space="preserve">, </w:t>
            </w:r>
            <w:r w:rsidRPr="00CE3194">
              <w:rPr>
                <w:rFonts w:cs="Arial"/>
                <w:i/>
                <w:szCs w:val="20"/>
                <w:highlight w:val="lightGray"/>
              </w:rPr>
              <w:t>gesteuert</w:t>
            </w:r>
            <w:r w:rsidR="002A0999">
              <w:rPr>
                <w:rFonts w:cs="Arial"/>
                <w:i/>
                <w:szCs w:val="20"/>
                <w:highlight w:val="lightGray"/>
              </w:rPr>
              <w:t xml:space="preserve"> und dokumentiert</w:t>
            </w:r>
            <w:r w:rsidRPr="00CE3194">
              <w:rPr>
                <w:rFonts w:cs="Arial"/>
                <w:i/>
                <w:szCs w:val="20"/>
                <w:highlight w:val="lightGray"/>
              </w:rPr>
              <w:t>;</w:t>
            </w:r>
          </w:p>
          <w:p w14:paraId="54ABA187"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57608F5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2E67A12C"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589EE109"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622BFE1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4CC0BBA9"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Szenarien berücksichtigen mögliche Auswirkungen unterlassener oder unzureichender Dienstleistungen von Dienstleistern</w:t>
            </w:r>
          </w:p>
          <w:p w14:paraId="18EC186A" w14:textId="77777777" w:rsidR="00D83362" w:rsidRPr="00CE3194"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34716211" w14:textId="77777777" w:rsidR="00D83362" w:rsidRPr="00CE3194"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7CCBEB8E" w14:textId="77777777" w:rsidR="00D83362" w:rsidRDefault="00D83362" w:rsidP="00671DBD">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3618AE6F" w14:textId="77777777" w:rsidR="00D83362" w:rsidRPr="00CE3194"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6BE897F0" w14:textId="4D0FDEAE"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Methoden zur Identifikation, Bewertung, Messung, Begrenzung, Überwachung</w:t>
            </w:r>
            <w:r w:rsidR="007D4EE8">
              <w:rPr>
                <w:rFonts w:cs="Arial"/>
                <w:i/>
                <w:szCs w:val="20"/>
                <w:highlight w:val="lightGray"/>
              </w:rPr>
              <w:t xml:space="preserve">, </w:t>
            </w:r>
            <w:r w:rsidRPr="00255340">
              <w:rPr>
                <w:rFonts w:cs="Arial"/>
                <w:i/>
                <w:szCs w:val="20"/>
                <w:highlight w:val="lightGray"/>
              </w:rPr>
              <w:t xml:space="preserve">Steuerung </w:t>
            </w:r>
            <w:r w:rsidR="007D4EE8">
              <w:rPr>
                <w:rFonts w:cs="Arial"/>
                <w:i/>
                <w:szCs w:val="20"/>
                <w:highlight w:val="lightGray"/>
              </w:rPr>
              <w:t xml:space="preserve">und Dokumentation </w:t>
            </w:r>
            <w:r w:rsidRPr="00255340">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D83362" w:rsidRPr="00CE3194" w14:paraId="329355D7" w14:textId="77777777" w:rsidTr="00671DBD">
        <w:tc>
          <w:tcPr>
            <w:tcW w:w="1668" w:type="dxa"/>
          </w:tcPr>
          <w:p w14:paraId="5622AC1E"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Interne Revision der ausgelagerten Tätigkeiten</w:t>
            </w:r>
          </w:p>
        </w:tc>
        <w:tc>
          <w:tcPr>
            <w:tcW w:w="5313" w:type="dxa"/>
          </w:tcPr>
          <w:p w14:paraId="0B31DF75"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135635D7" w14:textId="25F44DD9"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der risikobasierte Prüfplan der internen Revision </w:t>
            </w:r>
            <w:r w:rsidR="00AE134E">
              <w:rPr>
                <w:rFonts w:cs="Arial"/>
                <w:i/>
                <w:szCs w:val="20"/>
                <w:highlight w:val="lightGray"/>
              </w:rPr>
              <w:t xml:space="preserve">den Auslagerungsprozess und </w:t>
            </w:r>
            <w:r>
              <w:rPr>
                <w:rFonts w:cs="Arial"/>
                <w:i/>
                <w:szCs w:val="20"/>
                <w:highlight w:val="lightGray"/>
              </w:rPr>
              <w:t xml:space="preserve">u.a. die Prüfung der Auslagerungsvereinbarungen </w:t>
            </w:r>
            <w:r w:rsidR="00AE134E">
              <w:rPr>
                <w:rFonts w:cs="Arial"/>
                <w:i/>
                <w:szCs w:val="20"/>
                <w:highlight w:val="lightGray"/>
              </w:rPr>
              <w:t xml:space="preserve">(insb. </w:t>
            </w:r>
            <w:r>
              <w:rPr>
                <w:rFonts w:cs="Arial"/>
                <w:i/>
                <w:szCs w:val="20"/>
                <w:highlight w:val="lightGray"/>
              </w:rPr>
              <w:t>für kritische oder wesentliche Funktionen</w:t>
            </w:r>
            <w:r w:rsidR="00AE134E">
              <w:rPr>
                <w:rFonts w:cs="Arial"/>
                <w:i/>
                <w:szCs w:val="20"/>
                <w:highlight w:val="lightGray"/>
              </w:rPr>
              <w:t>)</w:t>
            </w:r>
            <w:r>
              <w:rPr>
                <w:rFonts w:cs="Arial"/>
                <w:i/>
                <w:szCs w:val="20"/>
                <w:highlight w:val="lightGray"/>
              </w:rPr>
              <w:t xml:space="preserve"> umfasst</w:t>
            </w:r>
          </w:p>
          <w:p w14:paraId="6D5C44A1" w14:textId="47A7677E" w:rsidR="00D83362" w:rsidRDefault="00D83362" w:rsidP="00671DBD">
            <w:pPr>
              <w:pStyle w:val="Listenabsatz"/>
              <w:numPr>
                <w:ilvl w:val="1"/>
                <w:numId w:val="17"/>
              </w:numPr>
              <w:ind w:left="317" w:hanging="283"/>
              <w:jc w:val="both"/>
              <w:rPr>
                <w:rFonts w:cs="Arial"/>
                <w:i/>
                <w:szCs w:val="20"/>
                <w:highlight w:val="lightGray"/>
              </w:rPr>
            </w:pPr>
          </w:p>
        </w:tc>
        <w:tc>
          <w:tcPr>
            <w:tcW w:w="2759" w:type="dxa"/>
          </w:tcPr>
          <w:p w14:paraId="07C1D84A"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 Revisionsfunktion für die Überprüfung der ausgelagerten Funktionen/Prozesse/Dienstleistungen angemessen ausgestaltet ist und die ausgelagerten Funktionen/Prozesse/Dienstleistungen im risikobasierten Prüfplan der Internen Revision angemessen adressiert und geprüft werden</w:t>
            </w:r>
          </w:p>
        </w:tc>
      </w:tr>
      <w:tr w:rsidR="00D83362" w:rsidRPr="00CE3194" w14:paraId="52CFE7DA" w14:textId="77777777" w:rsidTr="00671DBD">
        <w:tc>
          <w:tcPr>
            <w:tcW w:w="1668" w:type="dxa"/>
          </w:tcPr>
          <w:p w14:paraId="5950F378"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lastRenderedPageBreak/>
              <w:t>Dokumentationsanforderungen / Registerführung</w:t>
            </w:r>
          </w:p>
        </w:tc>
        <w:tc>
          <w:tcPr>
            <w:tcW w:w="5313" w:type="dxa"/>
          </w:tcPr>
          <w:p w14:paraId="11991EAF"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3A3ADC1E"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7F1B3BBE"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D83362" w:rsidRPr="00CE3194" w14:paraId="6C382A9E" w14:textId="77777777" w:rsidTr="00671DBD">
        <w:tc>
          <w:tcPr>
            <w:tcW w:w="1668" w:type="dxa"/>
          </w:tcPr>
          <w:p w14:paraId="0CFE6B64" w14:textId="77777777" w:rsidR="00D83362" w:rsidRDefault="00D83362" w:rsidP="00671DBD">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176AA2F6" w14:textId="77777777"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5DCD3C2B" w14:textId="3F7CB61C" w:rsidR="00D83362" w:rsidRDefault="00D83362" w:rsidP="00671DBD">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Ausstiegspläne sind </w:t>
            </w:r>
            <w:r w:rsidR="00AE134E">
              <w:rPr>
                <w:rFonts w:cs="Arial"/>
                <w:i/>
                <w:szCs w:val="20"/>
                <w:highlight w:val="lightGray"/>
              </w:rPr>
              <w:t xml:space="preserve">angemessen dokumentiert und </w:t>
            </w:r>
            <w:r>
              <w:rPr>
                <w:rFonts w:cs="Arial"/>
                <w:i/>
                <w:szCs w:val="20"/>
                <w:highlight w:val="lightGray"/>
              </w:rPr>
              <w:t>ausreichend erprobt (z.B. Durchführung einer Analyse der potenziellen Kosten, Folgen, Mittel und zeitlicher Auswirkungen der Übertragung auf einen anderen Anbieter)</w:t>
            </w:r>
          </w:p>
          <w:p w14:paraId="3D59BF8C" w14:textId="1DD8DF25" w:rsidR="00D83362" w:rsidRDefault="00992EA8" w:rsidP="004C0D20">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die </w:t>
            </w:r>
            <w:r w:rsidR="004B6F11">
              <w:rPr>
                <w:rFonts w:cs="Arial"/>
                <w:i/>
                <w:szCs w:val="20"/>
                <w:highlight w:val="lightGray"/>
              </w:rPr>
              <w:t>Bank bzw. in die</w:t>
            </w:r>
            <w:r w:rsidR="004B6F11" w:rsidRPr="00CE3194">
              <w:rPr>
                <w:rFonts w:cs="Arial"/>
                <w:i/>
                <w:szCs w:val="20"/>
                <w:highlight w:val="lightGray"/>
              </w:rPr>
              <w:t xml:space="preserve"> Gruppe</w:t>
            </w:r>
            <w:r>
              <w:rPr>
                <w:rFonts w:cs="Arial"/>
                <w:i/>
                <w:szCs w:val="20"/>
                <w:highlight w:val="lightGray"/>
              </w:rPr>
              <w:t xml:space="preserve"> eingegliedert </w:t>
            </w:r>
            <w:r w:rsidR="00AE134E">
              <w:rPr>
                <w:rFonts w:cs="Arial"/>
                <w:i/>
                <w:szCs w:val="20"/>
                <w:highlight w:val="lightGray"/>
              </w:rPr>
              <w:t xml:space="preserve">oder an einen anderen Dienstleister übertragen </w:t>
            </w:r>
            <w:r>
              <w:rPr>
                <w:rFonts w:cs="Arial"/>
                <w:i/>
                <w:szCs w:val="20"/>
                <w:highlight w:val="lightGray"/>
              </w:rPr>
              <w:t xml:space="preserve">werden können. </w:t>
            </w:r>
          </w:p>
        </w:tc>
        <w:tc>
          <w:tcPr>
            <w:tcW w:w="2759" w:type="dxa"/>
          </w:tcPr>
          <w:p w14:paraId="371643EA" w14:textId="77777777" w:rsidR="00D83362" w:rsidRPr="00024116" w:rsidRDefault="00D83362" w:rsidP="00671DBD">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41C7DB98" w14:textId="77777777" w:rsidR="00D83362" w:rsidRDefault="00D83362" w:rsidP="00D83362">
      <w:pPr>
        <w:jc w:val="both"/>
      </w:pPr>
    </w:p>
    <w:p w14:paraId="1AEBA80D" w14:textId="24AF841D" w:rsidR="00AA4693" w:rsidRPr="00B037A6" w:rsidRDefault="00AA4693" w:rsidP="00D83362">
      <w:pPr>
        <w:jc w:val="both"/>
        <w:rPr>
          <w:sz w:val="20"/>
          <w:szCs w:val="20"/>
        </w:rPr>
      </w:pPr>
      <w:bookmarkStart w:id="67" w:name="_Hlk55999855"/>
      <w:r w:rsidRPr="00B037A6">
        <w:rPr>
          <w:sz w:val="20"/>
          <w:szCs w:val="20"/>
        </w:rPr>
        <w:t xml:space="preserve">*Der Begriff </w:t>
      </w:r>
      <w:r>
        <w:rPr>
          <w:sz w:val="20"/>
          <w:szCs w:val="20"/>
        </w:rPr>
        <w:t>„</w:t>
      </w:r>
      <w:r w:rsidRPr="00B037A6">
        <w:rPr>
          <w:sz w:val="20"/>
          <w:szCs w:val="20"/>
        </w:rPr>
        <w:t>Dienstleister</w:t>
      </w:r>
      <w:r>
        <w:rPr>
          <w:sz w:val="20"/>
          <w:szCs w:val="20"/>
        </w:rPr>
        <w:t>“</w:t>
      </w:r>
      <w:r w:rsidRPr="00B037A6">
        <w:rPr>
          <w:sz w:val="20"/>
          <w:szCs w:val="20"/>
        </w:rPr>
        <w:t xml:space="preserve"> beinhaltet gruppeninterne Dienstleister als auch Dritte. </w:t>
      </w:r>
    </w:p>
    <w:bookmarkEnd w:id="67"/>
    <w:p w14:paraId="5D9AB863" w14:textId="77777777" w:rsidR="00AA4693" w:rsidRDefault="00AA4693" w:rsidP="00D83362">
      <w:pPr>
        <w:jc w:val="both"/>
      </w:pPr>
    </w:p>
    <w:p w14:paraId="2B403B26" w14:textId="77777777" w:rsidR="00D83362" w:rsidRPr="00276C60" w:rsidRDefault="00D83362" w:rsidP="00D83362">
      <w:pPr>
        <w:jc w:val="both"/>
        <w:rPr>
          <w:rFonts w:ascii="Arial" w:hAnsi="Arial" w:cs="Arial"/>
          <w:i/>
          <w:sz w:val="20"/>
          <w:szCs w:val="20"/>
        </w:rPr>
      </w:pPr>
      <w:r w:rsidRPr="00276C60">
        <w:rPr>
          <w:rFonts w:ascii="Arial" w:hAnsi="Arial" w:cs="Arial"/>
          <w:i/>
          <w:sz w:val="20"/>
          <w:szCs w:val="20"/>
          <w:highlight w:val="yellow"/>
        </w:rPr>
        <w:t>Text</w:t>
      </w:r>
    </w:p>
    <w:p w14:paraId="52464B13" w14:textId="77777777" w:rsidR="00D83362" w:rsidRDefault="00D83362" w:rsidP="006C48BB">
      <w:pPr>
        <w:jc w:val="both"/>
      </w:pPr>
    </w:p>
    <w:p w14:paraId="5C35FC76" w14:textId="77777777" w:rsidR="006C48BB" w:rsidRDefault="006C48BB" w:rsidP="006C48BB">
      <w:pPr>
        <w:jc w:val="both"/>
      </w:pPr>
    </w:p>
    <w:p w14:paraId="1E233514" w14:textId="77777777" w:rsidR="008C30D1" w:rsidRDefault="008C30D1" w:rsidP="006F7AB5">
      <w:pPr>
        <w:pStyle w:val="FINMAGliederungEbene3"/>
      </w:pPr>
      <w:bookmarkStart w:id="68" w:name="_Toc216425813"/>
      <w:r>
        <w:t>Business Continuity Management</w:t>
      </w:r>
      <w:r w:rsidR="00CA5DD8">
        <w:t xml:space="preserve"> (Massnahmen zur Aufrechterhaltung des Geschäftsbetriebs)</w:t>
      </w:r>
      <w:r w:rsidR="0003063F">
        <w:t xml:space="preserve"> (GOV-9</w:t>
      </w:r>
      <w:r w:rsidR="00543DCA">
        <w:t>)</w:t>
      </w:r>
      <w:bookmarkEnd w:id="68"/>
    </w:p>
    <w:p w14:paraId="47B7FD8F" w14:textId="77777777" w:rsidR="000901CB" w:rsidRDefault="00543DCA" w:rsidP="000901CB">
      <w:pPr>
        <w:jc w:val="both"/>
      </w:pPr>
      <w:r>
        <w:t xml:space="preserve"> </w:t>
      </w:r>
    </w:p>
    <w:tbl>
      <w:tblPr>
        <w:tblStyle w:val="Tabellenraster"/>
        <w:tblW w:w="0" w:type="auto"/>
        <w:tblLook w:val="04A0" w:firstRow="1" w:lastRow="0" w:firstColumn="1" w:lastColumn="0" w:noHBand="0" w:noVBand="1"/>
      </w:tblPr>
      <w:tblGrid>
        <w:gridCol w:w="1932"/>
        <w:gridCol w:w="2145"/>
        <w:gridCol w:w="1721"/>
        <w:gridCol w:w="3382"/>
      </w:tblGrid>
      <w:tr w:rsidR="000901CB" w:rsidRPr="009872F3" w14:paraId="3BA1F43B" w14:textId="77777777" w:rsidTr="004F737B">
        <w:trPr>
          <w:trHeight w:val="563"/>
        </w:trPr>
        <w:tc>
          <w:tcPr>
            <w:tcW w:w="1932" w:type="dxa"/>
          </w:tcPr>
          <w:p w14:paraId="788720C0"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Nettorisiko</w:t>
            </w:r>
          </w:p>
        </w:tc>
        <w:tc>
          <w:tcPr>
            <w:tcW w:w="2145" w:type="dxa"/>
          </w:tcPr>
          <w:p w14:paraId="730062BA"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0D878DF"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0901CB" w:rsidRPr="009872F3" w14:paraId="41052CB5" w14:textId="77777777" w:rsidTr="004F737B">
        <w:trPr>
          <w:trHeight w:val="698"/>
        </w:trPr>
        <w:tc>
          <w:tcPr>
            <w:tcW w:w="1932" w:type="dxa"/>
          </w:tcPr>
          <w:p w14:paraId="4F234098" w14:textId="5593B8B4"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1671D3CC" w14:textId="77777777" w:rsidR="000901CB" w:rsidRPr="006749F0" w:rsidRDefault="000901CB" w:rsidP="004F737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7D70503" w14:textId="77777777" w:rsidR="000901CB" w:rsidRPr="009872F3" w:rsidRDefault="000901CB" w:rsidP="004F737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E81E00" w14:textId="77777777" w:rsidR="000901CB" w:rsidRDefault="000901CB" w:rsidP="004F737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9D3E501" w14:textId="77777777" w:rsidR="000901CB" w:rsidRPr="006749F0" w:rsidRDefault="000901CB" w:rsidP="004F737B">
            <w:pPr>
              <w:jc w:val="both"/>
              <w:rPr>
                <w:rFonts w:ascii="Arial" w:hAnsi="Arial" w:cs="Arial"/>
                <w:i/>
                <w:sz w:val="18"/>
                <w:szCs w:val="18"/>
              </w:rPr>
            </w:pPr>
            <w:r w:rsidRPr="006749F0">
              <w:rPr>
                <w:rFonts w:ascii="Arial" w:hAnsi="Arial" w:cs="Arial"/>
                <w:i/>
                <w:sz w:val="18"/>
                <w:szCs w:val="18"/>
                <w:highlight w:val="yellow"/>
              </w:rPr>
              <w:t>Jahr</w:t>
            </w:r>
          </w:p>
        </w:tc>
      </w:tr>
      <w:tr w:rsidR="000901CB" w:rsidRPr="00B06C71" w14:paraId="5F2DCBE1" w14:textId="77777777" w:rsidTr="004F737B">
        <w:trPr>
          <w:trHeight w:val="636"/>
        </w:trPr>
        <w:tc>
          <w:tcPr>
            <w:tcW w:w="9180" w:type="dxa"/>
            <w:gridSpan w:val="4"/>
          </w:tcPr>
          <w:p w14:paraId="7E90F152" w14:textId="77777777" w:rsidR="000901CB" w:rsidRDefault="000901CB" w:rsidP="004F737B">
            <w:pPr>
              <w:jc w:val="both"/>
              <w:rPr>
                <w:rFonts w:ascii="Arial" w:hAnsi="Arial" w:cs="Arial"/>
                <w:sz w:val="18"/>
                <w:szCs w:val="18"/>
              </w:rPr>
            </w:pPr>
          </w:p>
          <w:p w14:paraId="1986C144" w14:textId="77777777" w:rsidR="000901CB" w:rsidRPr="00F60909" w:rsidRDefault="000901CB" w:rsidP="004F737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1B10586" w14:textId="34699AF5" w:rsidR="000901CB" w:rsidRPr="00287F87" w:rsidRDefault="000901CB" w:rsidP="004F737B">
            <w:pPr>
              <w:jc w:val="both"/>
              <w:rPr>
                <w:rFonts w:ascii="Arial" w:hAnsi="Arial" w:cs="Arial"/>
                <w:sz w:val="18"/>
                <w:szCs w:val="18"/>
              </w:rPr>
            </w:pPr>
            <w:r w:rsidRPr="00287F87">
              <w:rPr>
                <w:rFonts w:ascii="Arial" w:hAnsi="Arial" w:cs="Arial"/>
                <w:sz w:val="18"/>
                <w:szCs w:val="18"/>
                <w:highlight w:val="yellow"/>
              </w:rPr>
              <w:t xml:space="preserve">Art. </w:t>
            </w:r>
            <w:r w:rsidR="00DC249D" w:rsidRPr="00A938AE">
              <w:rPr>
                <w:rFonts w:ascii="Arial" w:hAnsi="Arial" w:cs="Arial"/>
                <w:sz w:val="18"/>
                <w:szCs w:val="18"/>
                <w:highlight w:val="yellow"/>
              </w:rPr>
              <w:t>71</w:t>
            </w:r>
            <w:r w:rsidRPr="002561FD">
              <w:rPr>
                <w:rFonts w:ascii="Arial" w:hAnsi="Arial" w:cs="Arial"/>
                <w:sz w:val="18"/>
                <w:szCs w:val="18"/>
                <w:highlight w:val="yellow"/>
              </w:rPr>
              <w:t xml:space="preserve"> BankG; Art. </w:t>
            </w:r>
            <w:r w:rsidR="00B06C71" w:rsidRPr="002561FD">
              <w:rPr>
                <w:rFonts w:ascii="Arial" w:hAnsi="Arial" w:cs="Arial"/>
                <w:sz w:val="18"/>
                <w:szCs w:val="18"/>
                <w:highlight w:val="yellow"/>
              </w:rPr>
              <w:t>10 BankV</w:t>
            </w:r>
            <w:r w:rsidR="00615EA1" w:rsidRPr="00A938AE">
              <w:rPr>
                <w:rFonts w:ascii="Arial" w:hAnsi="Arial" w:cs="Arial"/>
                <w:sz w:val="18"/>
                <w:szCs w:val="18"/>
                <w:highlight w:val="yellow"/>
              </w:rPr>
              <w:t xml:space="preserve">, </w:t>
            </w:r>
            <w:r w:rsidR="008A315D" w:rsidRPr="002561FD">
              <w:rPr>
                <w:rFonts w:ascii="Arial" w:hAnsi="Arial" w:cs="Arial"/>
                <w:sz w:val="18"/>
                <w:szCs w:val="18"/>
                <w:highlight w:val="yellow"/>
              </w:rPr>
              <w:t>EBA/GL/2021/05</w:t>
            </w:r>
            <w:r w:rsidRPr="002561FD">
              <w:rPr>
                <w:rFonts w:ascii="Arial" w:hAnsi="Arial" w:cs="Arial"/>
                <w:sz w:val="18"/>
                <w:szCs w:val="18"/>
                <w:highlight w:val="yellow"/>
              </w:rPr>
              <w:t>; EBA/GL/201</w:t>
            </w:r>
            <w:r w:rsidR="00DC249D" w:rsidRPr="00A938AE">
              <w:rPr>
                <w:rFonts w:ascii="Arial" w:hAnsi="Arial" w:cs="Arial"/>
                <w:sz w:val="18"/>
                <w:szCs w:val="18"/>
                <w:highlight w:val="yellow"/>
              </w:rPr>
              <w:t>8</w:t>
            </w:r>
            <w:r w:rsidRPr="002561FD">
              <w:rPr>
                <w:rFonts w:ascii="Arial" w:hAnsi="Arial" w:cs="Arial"/>
                <w:sz w:val="18"/>
                <w:szCs w:val="18"/>
                <w:highlight w:val="yellow"/>
              </w:rPr>
              <w:t>/13</w:t>
            </w:r>
            <w:r w:rsidR="00953F3E" w:rsidRPr="002561FD">
              <w:rPr>
                <w:rFonts w:ascii="Arial" w:hAnsi="Arial" w:cs="Arial"/>
                <w:sz w:val="18"/>
                <w:szCs w:val="18"/>
                <w:highlight w:val="yellow"/>
              </w:rPr>
              <w:t>; EBA/GL/2019/02</w:t>
            </w:r>
          </w:p>
        </w:tc>
      </w:tr>
      <w:tr w:rsidR="000901CB" w:rsidRPr="00B06C71" w14:paraId="67C25D42" w14:textId="77777777" w:rsidTr="004F737B">
        <w:trPr>
          <w:trHeight w:val="294"/>
        </w:trPr>
        <w:tc>
          <w:tcPr>
            <w:tcW w:w="9180" w:type="dxa"/>
            <w:gridSpan w:val="4"/>
          </w:tcPr>
          <w:p w14:paraId="7AF36DA5" w14:textId="77777777" w:rsidR="000901CB" w:rsidRPr="00287F87" w:rsidRDefault="000901CB" w:rsidP="004F737B">
            <w:pPr>
              <w:jc w:val="both"/>
              <w:rPr>
                <w:rFonts w:ascii="Arial" w:hAnsi="Arial" w:cs="Arial"/>
                <w:sz w:val="18"/>
                <w:szCs w:val="18"/>
              </w:rPr>
            </w:pPr>
          </w:p>
        </w:tc>
      </w:tr>
      <w:tr w:rsidR="000901CB" w:rsidRPr="009872F3" w14:paraId="58521199" w14:textId="77777777" w:rsidTr="004F737B">
        <w:tc>
          <w:tcPr>
            <w:tcW w:w="5798" w:type="dxa"/>
            <w:gridSpan w:val="3"/>
          </w:tcPr>
          <w:p w14:paraId="79F8461F" w14:textId="39E5BBBF" w:rsidR="000901CB" w:rsidRDefault="005034FA" w:rsidP="00B016A4">
            <w:pPr>
              <w:jc w:val="both"/>
              <w:rPr>
                <w:rFonts w:ascii="Arial" w:hAnsi="Arial" w:cs="Arial"/>
                <w:sz w:val="18"/>
                <w:szCs w:val="18"/>
              </w:rPr>
            </w:pPr>
            <w:r>
              <w:rPr>
                <w:rFonts w:ascii="Arial" w:hAnsi="Arial" w:cs="Arial"/>
                <w:sz w:val="18"/>
                <w:szCs w:val="18"/>
              </w:rPr>
              <w:t>Bestätigung, dass Business Impact Analyse</w:t>
            </w:r>
            <w:r w:rsidR="009E6900">
              <w:rPr>
                <w:rFonts w:ascii="Arial" w:hAnsi="Arial" w:cs="Arial"/>
                <w:sz w:val="18"/>
                <w:szCs w:val="18"/>
              </w:rPr>
              <w:t>n angemessen und regelmässig durchgeführt werden</w:t>
            </w:r>
          </w:p>
        </w:tc>
        <w:tc>
          <w:tcPr>
            <w:tcW w:w="3382" w:type="dxa"/>
          </w:tcPr>
          <w:p w14:paraId="44A7115E" w14:textId="77777777" w:rsidR="000901CB" w:rsidRPr="00E109DF" w:rsidRDefault="000901CB"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9E6900" w:rsidRPr="009872F3" w14:paraId="01A4D5BA" w14:textId="77777777" w:rsidTr="004F737B">
        <w:tc>
          <w:tcPr>
            <w:tcW w:w="5798" w:type="dxa"/>
            <w:gridSpan w:val="3"/>
          </w:tcPr>
          <w:p w14:paraId="5F79FB3D" w14:textId="77777777" w:rsidR="009E6900" w:rsidRDefault="009E6900" w:rsidP="009E6900">
            <w:pPr>
              <w:jc w:val="both"/>
              <w:rPr>
                <w:rFonts w:ascii="Arial" w:hAnsi="Arial" w:cs="Arial"/>
                <w:sz w:val="18"/>
                <w:szCs w:val="18"/>
              </w:rPr>
            </w:pPr>
            <w:r>
              <w:rPr>
                <w:rFonts w:ascii="Arial" w:hAnsi="Arial" w:cs="Arial"/>
                <w:sz w:val="18"/>
                <w:szCs w:val="18"/>
              </w:rPr>
              <w:t>Bestätigung, dass die internen Verfahren sicherstellen, dass die Business Continuity Strategie (Notfallpläne, Betriebskontinuitätspläne und Sanierungspläne) und die enthaltenen Massnahmen angemessen ausgestaltet und dokumentiert sind</w:t>
            </w:r>
          </w:p>
        </w:tc>
        <w:tc>
          <w:tcPr>
            <w:tcW w:w="3382" w:type="dxa"/>
          </w:tcPr>
          <w:p w14:paraId="65A83923" w14:textId="77777777" w:rsidR="009E6900"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034FA" w:rsidRPr="009872F3" w14:paraId="1A8460FB" w14:textId="77777777" w:rsidTr="004F737B">
        <w:tc>
          <w:tcPr>
            <w:tcW w:w="5798" w:type="dxa"/>
            <w:gridSpan w:val="3"/>
          </w:tcPr>
          <w:p w14:paraId="2BA7E42A" w14:textId="4C1EAB53" w:rsidR="005034FA" w:rsidRDefault="005034FA" w:rsidP="009E6900">
            <w:pPr>
              <w:jc w:val="both"/>
              <w:rPr>
                <w:rFonts w:ascii="Arial" w:hAnsi="Arial" w:cs="Arial"/>
                <w:sz w:val="18"/>
                <w:szCs w:val="18"/>
              </w:rPr>
            </w:pPr>
            <w:r>
              <w:rPr>
                <w:rFonts w:ascii="Arial" w:hAnsi="Arial" w:cs="Arial"/>
                <w:sz w:val="18"/>
                <w:szCs w:val="18"/>
              </w:rPr>
              <w:t xml:space="preserve">Bestätigung, dass die internen Verfahren sicherstellen, dass </w:t>
            </w:r>
            <w:r w:rsidR="009E6900">
              <w:rPr>
                <w:rFonts w:ascii="Arial" w:hAnsi="Arial" w:cs="Arial"/>
                <w:sz w:val="18"/>
                <w:szCs w:val="18"/>
              </w:rPr>
              <w:t>die Business Continuity Strategie (Notfallpläne, Betriebskontinuitätspläne und Sanierungsplän</w:t>
            </w:r>
            <w:r w:rsidR="008F0E6F">
              <w:rPr>
                <w:rFonts w:ascii="Arial" w:hAnsi="Arial" w:cs="Arial"/>
                <w:sz w:val="18"/>
                <w:szCs w:val="18"/>
              </w:rPr>
              <w:t>e</w:t>
            </w:r>
            <w:r w:rsidR="009E6900">
              <w:rPr>
                <w:rFonts w:ascii="Arial" w:hAnsi="Arial" w:cs="Arial"/>
                <w:sz w:val="18"/>
                <w:szCs w:val="18"/>
              </w:rPr>
              <w:t>) alle wichtigen Funktionen und Ressourcen</w:t>
            </w:r>
            <w:r w:rsidR="00730181">
              <w:rPr>
                <w:rFonts w:ascii="Arial" w:hAnsi="Arial" w:cs="Arial"/>
                <w:sz w:val="18"/>
                <w:szCs w:val="18"/>
              </w:rPr>
              <w:t xml:space="preserve"> (inkl. ausgelagerte kritische oder wesentliche Funktionen)</w:t>
            </w:r>
            <w:r w:rsidR="009E6900">
              <w:rPr>
                <w:rFonts w:ascii="Arial" w:hAnsi="Arial" w:cs="Arial"/>
                <w:sz w:val="18"/>
                <w:szCs w:val="18"/>
              </w:rPr>
              <w:t xml:space="preserve"> umfasst.</w:t>
            </w:r>
          </w:p>
        </w:tc>
        <w:tc>
          <w:tcPr>
            <w:tcW w:w="3382" w:type="dxa"/>
          </w:tcPr>
          <w:p w14:paraId="62E8DD73" w14:textId="77777777" w:rsidR="005034FA" w:rsidRPr="00E109DF" w:rsidRDefault="009E6900"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901CB" w:rsidRPr="009872F3" w14:paraId="07EF9806" w14:textId="77777777" w:rsidTr="004F737B">
        <w:tc>
          <w:tcPr>
            <w:tcW w:w="5798" w:type="dxa"/>
            <w:gridSpan w:val="3"/>
          </w:tcPr>
          <w:p w14:paraId="63893108" w14:textId="5B21CA87" w:rsidR="000901CB" w:rsidRDefault="009E6900" w:rsidP="005034FA">
            <w:pPr>
              <w:jc w:val="both"/>
              <w:rPr>
                <w:rFonts w:ascii="Arial" w:hAnsi="Arial" w:cs="Arial"/>
                <w:sz w:val="18"/>
                <w:szCs w:val="18"/>
              </w:rPr>
            </w:pPr>
            <w:r>
              <w:rPr>
                <w:rFonts w:ascii="Arial" w:hAnsi="Arial" w:cs="Arial"/>
                <w:sz w:val="18"/>
                <w:szCs w:val="18"/>
              </w:rPr>
              <w:t xml:space="preserve">Bestätigung, dass die </w:t>
            </w:r>
            <w:r w:rsidRPr="002E5C20">
              <w:rPr>
                <w:rFonts w:ascii="Arial" w:hAnsi="Arial" w:cs="Arial"/>
                <w:sz w:val="18"/>
                <w:szCs w:val="18"/>
                <w:highlight w:val="yellow"/>
              </w:rPr>
              <w:t>Bank / Gruppe</w:t>
            </w:r>
            <w:r>
              <w:rPr>
                <w:rFonts w:ascii="Arial" w:hAnsi="Arial" w:cs="Arial"/>
                <w:sz w:val="18"/>
                <w:szCs w:val="18"/>
              </w:rPr>
              <w:t xml:space="preserve"> über angemessene Notfallpläne verfügt, welche sicherstellen, dass die </w:t>
            </w:r>
            <w:r w:rsidRPr="002E5C20">
              <w:rPr>
                <w:rFonts w:ascii="Arial" w:hAnsi="Arial" w:cs="Arial"/>
                <w:sz w:val="18"/>
                <w:szCs w:val="18"/>
                <w:highlight w:val="yellow"/>
              </w:rPr>
              <w:t>Bank / Gruppe</w:t>
            </w:r>
            <w:r>
              <w:rPr>
                <w:rFonts w:ascii="Arial" w:hAnsi="Arial" w:cs="Arial"/>
                <w:sz w:val="18"/>
                <w:szCs w:val="18"/>
              </w:rPr>
              <w:t xml:space="preserve"> ihre Tätigkeit </w:t>
            </w:r>
            <w:r>
              <w:rPr>
                <w:rFonts w:ascii="Arial" w:hAnsi="Arial" w:cs="Arial"/>
                <w:sz w:val="18"/>
                <w:szCs w:val="18"/>
              </w:rPr>
              <w:lastRenderedPageBreak/>
              <w:t>ohne Unterbruch aufrechterhalten kann und sich die bei schwerwiegenden Betriebsstörungen auftretenden Verluste in Grenzen halten</w:t>
            </w:r>
          </w:p>
        </w:tc>
        <w:tc>
          <w:tcPr>
            <w:tcW w:w="3382" w:type="dxa"/>
          </w:tcPr>
          <w:p w14:paraId="212AF46C" w14:textId="77777777" w:rsidR="000901CB"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lastRenderedPageBreak/>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r w:rsidRPr="00E109DF" w:rsidDel="009E6900">
              <w:rPr>
                <w:rFonts w:ascii="Arial" w:hAnsi="Arial" w:cs="Arial"/>
                <w:i/>
                <w:sz w:val="18"/>
                <w:szCs w:val="18"/>
                <w:highlight w:val="yellow"/>
              </w:rPr>
              <w:t xml:space="preserve"> </w:t>
            </w:r>
          </w:p>
        </w:tc>
      </w:tr>
      <w:tr w:rsidR="005034FA" w:rsidRPr="009872F3" w14:paraId="28F76BFF" w14:textId="77777777" w:rsidTr="004F737B">
        <w:tc>
          <w:tcPr>
            <w:tcW w:w="5798" w:type="dxa"/>
            <w:gridSpan w:val="3"/>
          </w:tcPr>
          <w:p w14:paraId="0DA7C7EB" w14:textId="77777777" w:rsidR="005034FA" w:rsidRDefault="009E6900" w:rsidP="005034FA">
            <w:pPr>
              <w:jc w:val="both"/>
              <w:rPr>
                <w:rFonts w:ascii="Arial" w:hAnsi="Arial" w:cs="Arial"/>
                <w:sz w:val="18"/>
                <w:szCs w:val="18"/>
              </w:rPr>
            </w:pPr>
            <w:r>
              <w:rPr>
                <w:rFonts w:ascii="Arial" w:hAnsi="Arial" w:cs="Arial"/>
                <w:sz w:val="18"/>
                <w:szCs w:val="18"/>
              </w:rPr>
              <w:t xml:space="preserve">Bestätigung, dass die internen Verfahren ein regelmässiges Testing und Aktualisierung der Business Continuity Strategie </w:t>
            </w:r>
            <w:r w:rsidR="002113BC">
              <w:rPr>
                <w:rFonts w:ascii="Arial" w:hAnsi="Arial" w:cs="Arial"/>
                <w:sz w:val="18"/>
                <w:szCs w:val="18"/>
              </w:rPr>
              <w:t xml:space="preserve">(Notfallpläne, Betriebskontinuitätspläne und Sanierungspläne) </w:t>
            </w:r>
            <w:r>
              <w:rPr>
                <w:rFonts w:ascii="Arial" w:hAnsi="Arial" w:cs="Arial"/>
                <w:sz w:val="18"/>
                <w:szCs w:val="18"/>
              </w:rPr>
              <w:t>und der Massnahmen sicherstellen</w:t>
            </w:r>
          </w:p>
        </w:tc>
        <w:tc>
          <w:tcPr>
            <w:tcW w:w="3382" w:type="dxa"/>
          </w:tcPr>
          <w:p w14:paraId="78AD3C83" w14:textId="77777777" w:rsidR="005034FA"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2113BC" w:rsidRPr="009872F3" w14:paraId="1238DD98" w14:textId="77777777" w:rsidTr="004F737B">
        <w:tc>
          <w:tcPr>
            <w:tcW w:w="5798" w:type="dxa"/>
            <w:gridSpan w:val="3"/>
          </w:tcPr>
          <w:p w14:paraId="36F6D999" w14:textId="4E878846" w:rsidR="002113BC" w:rsidRDefault="002113BC" w:rsidP="00850AE4">
            <w:pPr>
              <w:jc w:val="both"/>
              <w:rPr>
                <w:rFonts w:ascii="Arial" w:hAnsi="Arial" w:cs="Arial"/>
                <w:sz w:val="18"/>
                <w:szCs w:val="18"/>
              </w:rPr>
            </w:pPr>
            <w:r>
              <w:rPr>
                <w:rFonts w:ascii="Arial" w:hAnsi="Arial" w:cs="Arial"/>
                <w:sz w:val="18"/>
                <w:szCs w:val="18"/>
              </w:rPr>
              <w:t xml:space="preserve">Bestätigung, dass die internen Verfahren sicherstellen, dass </w:t>
            </w:r>
            <w:r w:rsidR="00850AE4">
              <w:rPr>
                <w:rFonts w:ascii="Arial" w:hAnsi="Arial" w:cs="Arial"/>
                <w:sz w:val="18"/>
                <w:szCs w:val="18"/>
              </w:rPr>
              <w:t xml:space="preserve">die internen Verfahren zum </w:t>
            </w:r>
            <w:r>
              <w:rPr>
                <w:rFonts w:ascii="Arial" w:hAnsi="Arial" w:cs="Arial"/>
                <w:sz w:val="18"/>
                <w:szCs w:val="18"/>
              </w:rPr>
              <w:t xml:space="preserve">Business Continuity Management </w:t>
            </w:r>
            <w:r w:rsidR="00850AE4">
              <w:rPr>
                <w:rFonts w:ascii="Arial" w:hAnsi="Arial" w:cs="Arial"/>
                <w:sz w:val="18"/>
                <w:szCs w:val="18"/>
              </w:rPr>
              <w:t xml:space="preserve">im Prüfplan der internen Revision angemessen Berücksichtigung finden. </w:t>
            </w:r>
            <w:r>
              <w:rPr>
                <w:rFonts w:ascii="Arial" w:hAnsi="Arial" w:cs="Arial"/>
                <w:sz w:val="18"/>
                <w:szCs w:val="18"/>
              </w:rPr>
              <w:t xml:space="preserve"> </w:t>
            </w:r>
          </w:p>
        </w:tc>
        <w:tc>
          <w:tcPr>
            <w:tcW w:w="3382" w:type="dxa"/>
          </w:tcPr>
          <w:p w14:paraId="370692C2" w14:textId="77777777" w:rsidR="002113BC" w:rsidRPr="00E109DF" w:rsidRDefault="002113BC" w:rsidP="004F737B">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A99BDC7" w14:textId="77777777" w:rsidR="000901CB" w:rsidRDefault="000901CB" w:rsidP="000901CB">
      <w:pPr>
        <w:jc w:val="both"/>
      </w:pPr>
    </w:p>
    <w:tbl>
      <w:tblPr>
        <w:tblStyle w:val="Tabellenraster"/>
        <w:tblW w:w="0" w:type="auto"/>
        <w:tblLook w:val="04A0" w:firstRow="1" w:lastRow="0" w:firstColumn="1" w:lastColumn="0" w:noHBand="0" w:noVBand="1"/>
      </w:tblPr>
      <w:tblGrid>
        <w:gridCol w:w="2660"/>
        <w:gridCol w:w="6520"/>
      </w:tblGrid>
      <w:tr w:rsidR="000901CB" w:rsidRPr="00CE3194" w14:paraId="6B3A5E0E" w14:textId="77777777" w:rsidTr="004F737B">
        <w:tc>
          <w:tcPr>
            <w:tcW w:w="2660" w:type="dxa"/>
          </w:tcPr>
          <w:p w14:paraId="67123F8D" w14:textId="77777777" w:rsidR="000901CB" w:rsidRPr="00CE3194" w:rsidRDefault="000901CB" w:rsidP="004F737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21CF045" w14:textId="77777777" w:rsidR="000901CB" w:rsidRPr="00CE3194" w:rsidRDefault="00BC3C6E" w:rsidP="004F737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0901CB" w:rsidRPr="00CE3194" w14:paraId="10DDF629" w14:textId="77777777" w:rsidTr="004F737B">
        <w:tc>
          <w:tcPr>
            <w:tcW w:w="2660" w:type="dxa"/>
          </w:tcPr>
          <w:p w14:paraId="214E0D5D"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Business Impact Analysis</w:t>
            </w:r>
          </w:p>
        </w:tc>
        <w:tc>
          <w:tcPr>
            <w:tcW w:w="6520" w:type="dxa"/>
          </w:tcPr>
          <w:p w14:paraId="4A635A03" w14:textId="77777777" w:rsidR="00CA5DD8" w:rsidRDefault="000901CB" w:rsidP="00CA5DD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eine angemessene Quantifizierung der Auswirkungen </w:t>
            </w:r>
            <w:r w:rsidR="00CA5DD8">
              <w:rPr>
                <w:rFonts w:cs="Arial"/>
                <w:i/>
                <w:szCs w:val="20"/>
                <w:highlight w:val="lightGray"/>
              </w:rPr>
              <w:t>durch schwerwiegende Betriebsstörungen</w:t>
            </w:r>
            <w:r>
              <w:rPr>
                <w:rFonts w:cs="Arial"/>
                <w:i/>
                <w:szCs w:val="20"/>
                <w:highlight w:val="lightGray"/>
              </w:rPr>
              <w:t xml:space="preserve"> sicher</w:t>
            </w:r>
          </w:p>
          <w:p w14:paraId="60810BE4" w14:textId="77777777" w:rsidR="00CA5DD8" w:rsidRDefault="00CA5DD8" w:rsidP="00CA5DD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angemessenen Einbezug von qualitativen Auswirkungen durch schwerwiegende Betriebsstörungen sicher</w:t>
            </w:r>
          </w:p>
          <w:p w14:paraId="51B20BC2" w14:textId="77777777" w:rsidR="00F61357" w:rsidRDefault="00F61357"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angemessene Berücksichtigung von Szenario-Analysen und Prozessabhängigkeiten sicher</w:t>
            </w:r>
          </w:p>
          <w:p w14:paraId="272991A8" w14:textId="1F21BA25" w:rsidR="00953F3E" w:rsidRPr="00730181" w:rsidRDefault="00CA5DD8" w:rsidP="0073018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1264D7">
              <w:rPr>
                <w:rFonts w:cs="Arial"/>
                <w:i/>
                <w:szCs w:val="20"/>
                <w:highlight w:val="lightGray"/>
              </w:rPr>
              <w:t>die wesentlichen</w:t>
            </w:r>
            <w:r>
              <w:rPr>
                <w:rFonts w:cs="Arial"/>
                <w:i/>
                <w:szCs w:val="20"/>
                <w:highlight w:val="lightGray"/>
              </w:rPr>
              <w:t xml:space="preserve"> Geschäftsbereiche und interne Einheiten</w:t>
            </w:r>
            <w:r w:rsidR="00F81E0F">
              <w:rPr>
                <w:rFonts w:cs="Arial"/>
                <w:i/>
                <w:szCs w:val="20"/>
                <w:highlight w:val="lightGray"/>
              </w:rPr>
              <w:t xml:space="preserve"> bzw. Prozesse</w:t>
            </w:r>
            <w:r>
              <w:rPr>
                <w:rFonts w:cs="Arial"/>
                <w:i/>
                <w:szCs w:val="20"/>
                <w:highlight w:val="lightGray"/>
              </w:rPr>
              <w:t xml:space="preserve"> </w:t>
            </w:r>
            <w:r w:rsidR="00953F3E">
              <w:rPr>
                <w:rFonts w:cs="Arial"/>
                <w:i/>
                <w:szCs w:val="20"/>
                <w:highlight w:val="lightGray"/>
              </w:rPr>
              <w:t xml:space="preserve">inkl. ausgelagerter kritischer oder wesentlicher Funktionen </w:t>
            </w:r>
            <w:r>
              <w:rPr>
                <w:rFonts w:cs="Arial"/>
                <w:i/>
                <w:szCs w:val="20"/>
                <w:highlight w:val="lightGray"/>
              </w:rPr>
              <w:t>in die Szenario-Analyse miteinbezogen w</w:t>
            </w:r>
            <w:r w:rsidR="005034FA">
              <w:rPr>
                <w:rFonts w:cs="Arial"/>
                <w:i/>
                <w:szCs w:val="20"/>
                <w:highlight w:val="lightGray"/>
              </w:rPr>
              <w:t>e</w:t>
            </w:r>
            <w:r>
              <w:rPr>
                <w:rFonts w:cs="Arial"/>
                <w:i/>
                <w:szCs w:val="20"/>
                <w:highlight w:val="lightGray"/>
              </w:rPr>
              <w:t>rden</w:t>
            </w:r>
          </w:p>
          <w:p w14:paraId="00985955" w14:textId="77777777" w:rsidR="00F61357" w:rsidRDefault="00F61357"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regelmässige und angemessene Durchführung von Business Impact Analysen sicher</w:t>
            </w:r>
          </w:p>
          <w:p w14:paraId="6FA7BBD6" w14:textId="77777777" w:rsidR="00F81E0F" w:rsidRPr="00F61357" w:rsidRDefault="00F81E0F" w:rsidP="00F61357">
            <w:pPr>
              <w:pStyle w:val="Listenabsatz"/>
              <w:numPr>
                <w:ilvl w:val="1"/>
                <w:numId w:val="17"/>
              </w:numPr>
              <w:ind w:left="317" w:hanging="283"/>
              <w:jc w:val="both"/>
              <w:rPr>
                <w:rFonts w:cs="Arial"/>
                <w:i/>
                <w:szCs w:val="20"/>
                <w:highlight w:val="lightGray"/>
              </w:rPr>
            </w:pPr>
            <w:r>
              <w:rPr>
                <w:rFonts w:cs="Arial"/>
                <w:i/>
                <w:szCs w:val="20"/>
                <w:highlight w:val="lightGray"/>
              </w:rPr>
              <w:t>Die internen Verfahren regeln Kriterien aufgrund welcher eine ad-hoc Business Impact Analyse ausserhalb des normalen Aktualisierungszyklus ausgelöst wird (z.B. neue Produkte / Geschäftsfelder, Veränderungen der IT Infrastruktur, etc.)</w:t>
            </w:r>
          </w:p>
        </w:tc>
      </w:tr>
      <w:tr w:rsidR="000901CB" w:rsidRPr="00CE3194" w14:paraId="3AD3FCD0" w14:textId="77777777" w:rsidTr="004F737B">
        <w:tc>
          <w:tcPr>
            <w:tcW w:w="2660" w:type="dxa"/>
          </w:tcPr>
          <w:p w14:paraId="2E3933D3" w14:textId="6BEECE5E" w:rsidR="000901CB" w:rsidRPr="00B037A6" w:rsidRDefault="000901CB" w:rsidP="004F737B">
            <w:pPr>
              <w:jc w:val="both"/>
              <w:rPr>
                <w:rFonts w:ascii="Arial" w:hAnsi="Arial" w:cs="Arial"/>
                <w:i/>
                <w:sz w:val="20"/>
                <w:szCs w:val="20"/>
                <w:highlight w:val="lightGray"/>
                <w:lang w:val="en-US"/>
              </w:rPr>
            </w:pPr>
            <w:r w:rsidRPr="00B037A6">
              <w:rPr>
                <w:rFonts w:ascii="Arial" w:hAnsi="Arial" w:cs="Arial"/>
                <w:i/>
                <w:sz w:val="20"/>
                <w:szCs w:val="20"/>
                <w:highlight w:val="lightGray"/>
                <w:lang w:val="en-US"/>
              </w:rPr>
              <w:t xml:space="preserve">Business Continuity </w:t>
            </w:r>
            <w:r w:rsidR="008F0E6F" w:rsidRPr="00ED2F2F">
              <w:rPr>
                <w:rFonts w:ascii="Arial" w:hAnsi="Arial" w:cs="Arial"/>
                <w:i/>
                <w:sz w:val="20"/>
                <w:szCs w:val="20"/>
                <w:highlight w:val="lightGray"/>
                <w:lang w:val="en-US"/>
              </w:rPr>
              <w:t>Strategie</w:t>
            </w:r>
            <w:r w:rsidRPr="00B037A6">
              <w:rPr>
                <w:rFonts w:ascii="Arial" w:hAnsi="Arial" w:cs="Arial"/>
                <w:i/>
                <w:sz w:val="20"/>
                <w:szCs w:val="20"/>
                <w:highlight w:val="lightGray"/>
                <w:lang w:val="en-US"/>
              </w:rPr>
              <w:t xml:space="preserve"> und Massnahmen</w:t>
            </w:r>
          </w:p>
        </w:tc>
        <w:tc>
          <w:tcPr>
            <w:tcW w:w="6520" w:type="dxa"/>
          </w:tcPr>
          <w:p w14:paraId="6385F094" w14:textId="77777777" w:rsidR="00F81E0F" w:rsidRDefault="00F81E0F"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w:t>
            </w:r>
            <w:r w:rsidR="009043A1">
              <w:rPr>
                <w:rFonts w:cs="Arial"/>
                <w:i/>
                <w:szCs w:val="20"/>
                <w:highlight w:val="lightGray"/>
              </w:rPr>
              <w:t>l</w:t>
            </w:r>
            <w:r>
              <w:rPr>
                <w:rFonts w:cs="Arial"/>
                <w:i/>
                <w:szCs w:val="20"/>
                <w:highlight w:val="lightGray"/>
              </w:rPr>
              <w:t xml:space="preserve">en sicher, dass sich die Business Continuity Strategie auf die Erkenntnisse aus der Business Continuity Analyse stützt. </w:t>
            </w:r>
          </w:p>
          <w:p w14:paraId="246B502F" w14:textId="77777777" w:rsidR="00CA5DD8" w:rsidRDefault="00CA5DD8"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Business Continuity Strategie (Notfallpläne, Pläne zur Aufrechterhaltung des Geschäftsbetriebs und Pläne zur Wiederherstellung) angemessen dokumentiert ist </w:t>
            </w:r>
          </w:p>
          <w:p w14:paraId="43EFDC90" w14:textId="436FDD71" w:rsidR="00CA5DD8" w:rsidRDefault="000901CB"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Verfügbarkeit einer B</w:t>
            </w:r>
            <w:r w:rsidR="00CA5DD8">
              <w:rPr>
                <w:rFonts w:cs="Arial"/>
                <w:i/>
                <w:szCs w:val="20"/>
                <w:highlight w:val="lightGray"/>
              </w:rPr>
              <w:t xml:space="preserve">usiness Continuity </w:t>
            </w:r>
            <w:r>
              <w:rPr>
                <w:rFonts w:cs="Arial"/>
                <w:i/>
                <w:szCs w:val="20"/>
                <w:highlight w:val="lightGray"/>
              </w:rPr>
              <w:t xml:space="preserve">Strategie </w:t>
            </w:r>
            <w:r w:rsidR="00CA5DD8">
              <w:rPr>
                <w:rFonts w:cs="Arial"/>
                <w:i/>
                <w:szCs w:val="20"/>
                <w:highlight w:val="lightGray"/>
              </w:rPr>
              <w:t>(Notfallpläne, Pläne zur Aufrechterhaltung des Geschäftsbetriebs und Pläne zur Wiederherstellung) sicher</w:t>
            </w:r>
          </w:p>
          <w:p w14:paraId="63ED50B5" w14:textId="358F041B" w:rsidR="009043A1" w:rsidRDefault="009043A1" w:rsidP="004F737B">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Massnahmen </w:t>
            </w:r>
            <w:r w:rsidR="00CD4C50">
              <w:rPr>
                <w:rFonts w:cs="Arial"/>
                <w:i/>
                <w:szCs w:val="20"/>
                <w:highlight w:val="lightGray"/>
              </w:rPr>
              <w:t xml:space="preserve">(Reaktions- und Wiederherstellungspläne) </w:t>
            </w:r>
            <w:r>
              <w:rPr>
                <w:rFonts w:cs="Arial"/>
                <w:i/>
                <w:szCs w:val="20"/>
                <w:highlight w:val="lightGray"/>
              </w:rPr>
              <w:t xml:space="preserve">für die </w:t>
            </w:r>
            <w:r w:rsidR="00CD4C50">
              <w:rPr>
                <w:rFonts w:cs="Arial"/>
                <w:i/>
                <w:szCs w:val="20"/>
                <w:highlight w:val="lightGray"/>
              </w:rPr>
              <w:t xml:space="preserve">Verfügbarkeit, Kontinuität und Wiederherstellung der für die </w:t>
            </w:r>
            <w:r>
              <w:rPr>
                <w:rFonts w:cs="Arial"/>
                <w:i/>
                <w:szCs w:val="20"/>
                <w:highlight w:val="lightGray"/>
              </w:rPr>
              <w:t>gemäss Business Continuity Strategie wichtigen und zeitkritischen Geschäfts</w:t>
            </w:r>
            <w:r w:rsidR="00CD4C50">
              <w:rPr>
                <w:rFonts w:cs="Arial"/>
                <w:i/>
                <w:szCs w:val="20"/>
                <w:highlight w:val="lightGray"/>
              </w:rPr>
              <w:t>funktionen, Unterstützungsprozesse, IKT-Assets und deren gegenseitige Abhängigkeiten</w:t>
            </w:r>
            <w:r>
              <w:rPr>
                <w:rFonts w:cs="Arial"/>
                <w:i/>
                <w:szCs w:val="20"/>
                <w:highlight w:val="lightGray"/>
              </w:rPr>
              <w:t xml:space="preserve"> definiert sind. </w:t>
            </w:r>
          </w:p>
          <w:p w14:paraId="223E2C23" w14:textId="0DDED103" w:rsidR="00F945D0" w:rsidRDefault="00F945D0" w:rsidP="004F737B">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die Massnahmen das Vorgehen, die Mittel und die notwendigen Ressourcen zur Überbrückung und Wiederherstellung der wichtigen und zeitkritischen Geschäfts</w:t>
            </w:r>
            <w:r w:rsidR="00CD4C50">
              <w:rPr>
                <w:rFonts w:cs="Arial"/>
                <w:i/>
                <w:szCs w:val="20"/>
                <w:highlight w:val="lightGray"/>
              </w:rPr>
              <w:t>funktionen, Unterstützungsprozesse, IKT-Assets und deren gegenseitige Abhängigkeiten</w:t>
            </w:r>
            <w:r w:rsidR="00730181">
              <w:rPr>
                <w:rFonts w:cs="Arial"/>
                <w:i/>
                <w:szCs w:val="20"/>
                <w:highlight w:val="lightGray"/>
              </w:rPr>
              <w:t xml:space="preserve"> </w:t>
            </w:r>
            <w:r>
              <w:rPr>
                <w:rFonts w:cs="Arial"/>
                <w:i/>
                <w:szCs w:val="20"/>
                <w:highlight w:val="lightGray"/>
              </w:rPr>
              <w:t>berücksichtigen.</w:t>
            </w:r>
          </w:p>
          <w:p w14:paraId="46300245" w14:textId="3A6382CC" w:rsidR="00CA5DD8" w:rsidRPr="009043A1" w:rsidRDefault="000464E3" w:rsidP="009043A1">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Schulung von Mitarbeitenden und die Kommunikation innerhalb </w:t>
            </w:r>
            <w:r w:rsidR="009043A1">
              <w:rPr>
                <w:rFonts w:cs="Arial"/>
                <w:i/>
                <w:szCs w:val="20"/>
                <w:highlight w:val="lightGray"/>
              </w:rPr>
              <w:t xml:space="preserve">der Bank / Gruppe </w:t>
            </w:r>
            <w:r w:rsidR="00F945D0">
              <w:rPr>
                <w:rFonts w:cs="Arial"/>
                <w:i/>
                <w:szCs w:val="20"/>
                <w:highlight w:val="lightGray"/>
              </w:rPr>
              <w:t xml:space="preserve">über die Massnahmen </w:t>
            </w:r>
            <w:r>
              <w:rPr>
                <w:rFonts w:cs="Arial"/>
                <w:i/>
                <w:szCs w:val="20"/>
                <w:highlight w:val="lightGray"/>
              </w:rPr>
              <w:t>sicher</w:t>
            </w:r>
          </w:p>
        </w:tc>
      </w:tr>
      <w:tr w:rsidR="000901CB" w:rsidRPr="00CE3194" w14:paraId="6C48DDD1" w14:textId="77777777" w:rsidTr="004F737B">
        <w:tc>
          <w:tcPr>
            <w:tcW w:w="2660" w:type="dxa"/>
          </w:tcPr>
          <w:p w14:paraId="7196990B"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t xml:space="preserve">Testing &amp; Aktualisierung der Business Continuity </w:t>
            </w:r>
            <w:r>
              <w:rPr>
                <w:rFonts w:ascii="Arial" w:hAnsi="Arial" w:cs="Arial"/>
                <w:i/>
                <w:sz w:val="20"/>
                <w:szCs w:val="20"/>
                <w:highlight w:val="lightGray"/>
              </w:rPr>
              <w:lastRenderedPageBreak/>
              <w:t>Strategie und der Massnahmen</w:t>
            </w:r>
          </w:p>
        </w:tc>
        <w:tc>
          <w:tcPr>
            <w:tcW w:w="6520" w:type="dxa"/>
          </w:tcPr>
          <w:p w14:paraId="397A20E6" w14:textId="77777777" w:rsidR="000901CB" w:rsidRDefault="000901CB" w:rsidP="000901CB">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eine regelmässige Evaluierung der</w:t>
            </w:r>
            <w:r w:rsidR="00CA5DD8">
              <w:rPr>
                <w:rFonts w:cs="Arial"/>
                <w:i/>
                <w:szCs w:val="20"/>
                <w:highlight w:val="lightGray"/>
              </w:rPr>
              <w:t xml:space="preserve"> Business Continuity</w:t>
            </w:r>
            <w:r>
              <w:rPr>
                <w:rFonts w:cs="Arial"/>
                <w:i/>
                <w:szCs w:val="20"/>
                <w:highlight w:val="lightGray"/>
              </w:rPr>
              <w:t xml:space="preserve"> Strategie und der Massnahmen sicher</w:t>
            </w:r>
          </w:p>
          <w:p w14:paraId="1D4CF298" w14:textId="77777777" w:rsidR="00F945D0" w:rsidRDefault="00F945D0" w:rsidP="000901CB">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die Dokumentation der Evaluierung und deren Ergebnisse sicher</w:t>
            </w:r>
          </w:p>
          <w:p w14:paraId="2C037F4C" w14:textId="77777777" w:rsidR="00D73B0D" w:rsidRDefault="00D73B0D" w:rsidP="00CB3EE6">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Überarbeitung der Pläne bei existierenden Problemen oder Störungen sicher</w:t>
            </w:r>
          </w:p>
          <w:p w14:paraId="1D37446D" w14:textId="169D9937" w:rsidR="005034FA" w:rsidRPr="000901CB" w:rsidRDefault="005034FA" w:rsidP="003E2995">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überarbeiteten Pläne innerhalb der Bank / Gruppe angemessen kommuniziert wurden. </w:t>
            </w:r>
          </w:p>
        </w:tc>
      </w:tr>
      <w:tr w:rsidR="000901CB" w:rsidRPr="00CE3194" w14:paraId="23408D74" w14:textId="77777777" w:rsidTr="004F737B">
        <w:tc>
          <w:tcPr>
            <w:tcW w:w="2660" w:type="dxa"/>
          </w:tcPr>
          <w:p w14:paraId="42727B0F" w14:textId="77777777" w:rsidR="000901CB" w:rsidRDefault="000901CB" w:rsidP="004F737B">
            <w:pPr>
              <w:jc w:val="both"/>
              <w:rPr>
                <w:rFonts w:ascii="Arial" w:hAnsi="Arial" w:cs="Arial"/>
                <w:i/>
                <w:sz w:val="20"/>
                <w:szCs w:val="20"/>
                <w:highlight w:val="lightGray"/>
              </w:rPr>
            </w:pPr>
            <w:r>
              <w:rPr>
                <w:rFonts w:ascii="Arial" w:hAnsi="Arial" w:cs="Arial"/>
                <w:i/>
                <w:sz w:val="20"/>
                <w:szCs w:val="20"/>
                <w:highlight w:val="lightGray"/>
              </w:rPr>
              <w:lastRenderedPageBreak/>
              <w:t>Business Continuity Review</w:t>
            </w:r>
          </w:p>
        </w:tc>
        <w:tc>
          <w:tcPr>
            <w:tcW w:w="6520" w:type="dxa"/>
          </w:tcPr>
          <w:p w14:paraId="3CE7CA16" w14:textId="3539D9F2" w:rsidR="000901CB" w:rsidRDefault="000901CB" w:rsidP="006634A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w:t>
            </w:r>
            <w:r w:rsidR="007D00DF">
              <w:rPr>
                <w:rFonts w:cs="Arial"/>
                <w:i/>
                <w:szCs w:val="20"/>
                <w:highlight w:val="lightGray"/>
              </w:rPr>
              <w:t xml:space="preserve">die </w:t>
            </w:r>
            <w:r w:rsidR="007D4EE8">
              <w:rPr>
                <w:rFonts w:cs="Arial"/>
                <w:i/>
                <w:szCs w:val="20"/>
                <w:highlight w:val="lightGray"/>
              </w:rPr>
              <w:t xml:space="preserve">Prüfung der </w:t>
            </w:r>
            <w:r w:rsidR="007D00DF">
              <w:rPr>
                <w:rFonts w:cs="Arial"/>
                <w:i/>
                <w:szCs w:val="20"/>
                <w:highlight w:val="lightGray"/>
              </w:rPr>
              <w:t>internen Verfahren zum</w:t>
            </w:r>
            <w:r>
              <w:rPr>
                <w:rFonts w:cs="Arial"/>
                <w:i/>
                <w:szCs w:val="20"/>
                <w:highlight w:val="lightGray"/>
              </w:rPr>
              <w:t xml:space="preserve"> B</w:t>
            </w:r>
            <w:r w:rsidR="00CA5DD8">
              <w:rPr>
                <w:rFonts w:cs="Arial"/>
                <w:i/>
                <w:szCs w:val="20"/>
                <w:highlight w:val="lightGray"/>
              </w:rPr>
              <w:t xml:space="preserve">usiness Continuity Management </w:t>
            </w:r>
            <w:r w:rsidR="007D4EE8">
              <w:rPr>
                <w:rFonts w:cs="Arial"/>
                <w:i/>
                <w:szCs w:val="20"/>
                <w:highlight w:val="lightGray"/>
              </w:rPr>
              <w:t>angemessen in der Mehrjahresplanung</w:t>
            </w:r>
            <w:r w:rsidR="007D00DF">
              <w:rPr>
                <w:rFonts w:cs="Arial"/>
                <w:i/>
                <w:szCs w:val="20"/>
                <w:highlight w:val="lightGray"/>
              </w:rPr>
              <w:t xml:space="preserve"> der internen Revision berücksichtigt </w:t>
            </w:r>
            <w:r w:rsidR="007D4EE8">
              <w:rPr>
                <w:rFonts w:cs="Arial"/>
                <w:i/>
                <w:szCs w:val="20"/>
                <w:highlight w:val="lightGray"/>
              </w:rPr>
              <w:t xml:space="preserve">und regelmässig geprüft </w:t>
            </w:r>
            <w:r w:rsidR="007D00DF">
              <w:rPr>
                <w:rFonts w:cs="Arial"/>
                <w:i/>
                <w:szCs w:val="20"/>
                <w:highlight w:val="lightGray"/>
              </w:rPr>
              <w:t xml:space="preserve">werden. </w:t>
            </w:r>
          </w:p>
        </w:tc>
      </w:tr>
    </w:tbl>
    <w:p w14:paraId="7E7F5E59" w14:textId="77777777" w:rsidR="000901CB" w:rsidRDefault="000901CB" w:rsidP="000901CB">
      <w:pPr>
        <w:jc w:val="both"/>
      </w:pPr>
    </w:p>
    <w:p w14:paraId="775379E9"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878C9F7" w14:textId="77777777" w:rsidR="004A405F" w:rsidRDefault="004A405F" w:rsidP="000901CB">
      <w:pPr>
        <w:jc w:val="both"/>
      </w:pPr>
    </w:p>
    <w:p w14:paraId="1D05E952" w14:textId="77777777" w:rsidR="000C756C" w:rsidRDefault="000C756C" w:rsidP="00E864F2">
      <w:pPr>
        <w:jc w:val="both"/>
      </w:pPr>
    </w:p>
    <w:p w14:paraId="06D4C1D0" w14:textId="7649019F" w:rsidR="008C30D1" w:rsidRDefault="008C30D1" w:rsidP="006F7AB5">
      <w:pPr>
        <w:pStyle w:val="FINMAGliederungEbene3"/>
      </w:pPr>
      <w:bookmarkStart w:id="69" w:name="_Toc216425814"/>
      <w:r>
        <w:t>Vergütungspolitik- und praxis</w:t>
      </w:r>
      <w:r w:rsidR="0003063F">
        <w:t xml:space="preserve"> (GOV-1</w:t>
      </w:r>
      <w:r w:rsidR="002561FD">
        <w:t>0</w:t>
      </w:r>
      <w:r w:rsidR="0003063F">
        <w:t>)</w:t>
      </w:r>
      <w:bookmarkEnd w:id="69"/>
    </w:p>
    <w:p w14:paraId="2B1C05EE" w14:textId="77777777" w:rsidR="004A405F" w:rsidRDefault="004A405F"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4A405F" w:rsidRPr="009872F3" w14:paraId="75C70583" w14:textId="77777777" w:rsidTr="00776C82">
        <w:trPr>
          <w:trHeight w:val="563"/>
        </w:trPr>
        <w:tc>
          <w:tcPr>
            <w:tcW w:w="1932" w:type="dxa"/>
          </w:tcPr>
          <w:p w14:paraId="6D1C4C3B"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Nettorisiko</w:t>
            </w:r>
          </w:p>
        </w:tc>
        <w:tc>
          <w:tcPr>
            <w:tcW w:w="2145" w:type="dxa"/>
          </w:tcPr>
          <w:p w14:paraId="71A56C4A"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23852A2"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A405F" w:rsidRPr="009872F3" w14:paraId="24834F32" w14:textId="77777777" w:rsidTr="00776C82">
        <w:trPr>
          <w:trHeight w:val="698"/>
        </w:trPr>
        <w:tc>
          <w:tcPr>
            <w:tcW w:w="1932" w:type="dxa"/>
          </w:tcPr>
          <w:p w14:paraId="6F2B6BBF" w14:textId="599EB58E" w:rsidR="004A405F" w:rsidRPr="006749F0" w:rsidRDefault="004A405F" w:rsidP="00776C82">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6FD173A6" w14:textId="77777777" w:rsidR="004A405F" w:rsidRPr="006749F0" w:rsidRDefault="004A405F" w:rsidP="00776C82">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14E8B7C" w14:textId="77777777" w:rsidR="004A405F" w:rsidRPr="009872F3" w:rsidRDefault="004A405F" w:rsidP="00776C82">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D49E857" w14:textId="77777777" w:rsidR="004A405F" w:rsidRDefault="004A405F" w:rsidP="00776C82">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76338B5" w14:textId="77777777" w:rsidR="004A405F" w:rsidRPr="006749F0" w:rsidRDefault="004A405F" w:rsidP="00776C82">
            <w:pPr>
              <w:jc w:val="both"/>
              <w:rPr>
                <w:rFonts w:ascii="Arial" w:hAnsi="Arial" w:cs="Arial"/>
                <w:i/>
                <w:sz w:val="18"/>
                <w:szCs w:val="18"/>
              </w:rPr>
            </w:pPr>
            <w:r w:rsidRPr="006749F0">
              <w:rPr>
                <w:rFonts w:ascii="Arial" w:hAnsi="Arial" w:cs="Arial"/>
                <w:i/>
                <w:sz w:val="18"/>
                <w:szCs w:val="18"/>
                <w:highlight w:val="yellow"/>
              </w:rPr>
              <w:t>Jahr</w:t>
            </w:r>
          </w:p>
        </w:tc>
      </w:tr>
      <w:tr w:rsidR="004A405F" w:rsidRPr="00DE2BE3" w14:paraId="304327FC" w14:textId="77777777" w:rsidTr="00776C82">
        <w:trPr>
          <w:trHeight w:val="636"/>
        </w:trPr>
        <w:tc>
          <w:tcPr>
            <w:tcW w:w="9180" w:type="dxa"/>
            <w:gridSpan w:val="4"/>
          </w:tcPr>
          <w:p w14:paraId="5C820A07" w14:textId="77777777" w:rsidR="004A405F" w:rsidRDefault="004A405F" w:rsidP="00776C82">
            <w:pPr>
              <w:jc w:val="both"/>
              <w:rPr>
                <w:rFonts w:ascii="Arial" w:hAnsi="Arial" w:cs="Arial"/>
                <w:sz w:val="18"/>
                <w:szCs w:val="18"/>
              </w:rPr>
            </w:pPr>
          </w:p>
          <w:p w14:paraId="03C798B8" w14:textId="77777777" w:rsidR="004A405F" w:rsidRPr="00F60909" w:rsidRDefault="004A405F" w:rsidP="00776C82">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B3A8D15" w14:textId="2DD94424" w:rsidR="004A405F" w:rsidRPr="00AB03CE" w:rsidRDefault="004A405F" w:rsidP="00776C82">
            <w:pPr>
              <w:jc w:val="both"/>
              <w:rPr>
                <w:rFonts w:ascii="Arial" w:hAnsi="Arial" w:cs="Arial"/>
                <w:sz w:val="18"/>
                <w:szCs w:val="18"/>
              </w:rPr>
            </w:pPr>
            <w:r w:rsidRPr="00CF66E4">
              <w:rPr>
                <w:rFonts w:ascii="Arial" w:hAnsi="Arial" w:cs="Arial"/>
                <w:sz w:val="18"/>
                <w:szCs w:val="18"/>
                <w:highlight w:val="yellow"/>
              </w:rPr>
              <w:t xml:space="preserve">Art. </w:t>
            </w:r>
            <w:r w:rsidR="00B4674D" w:rsidRPr="00CF66E4">
              <w:rPr>
                <w:rFonts w:ascii="Arial" w:hAnsi="Arial" w:cs="Arial"/>
                <w:sz w:val="18"/>
                <w:szCs w:val="18"/>
                <w:highlight w:val="yellow"/>
              </w:rPr>
              <w:t xml:space="preserve">71 BankG, Art. 82 </w:t>
            </w:r>
            <w:r w:rsidR="00B4674D" w:rsidRPr="00A938AE">
              <w:rPr>
                <w:rFonts w:ascii="Arial" w:hAnsi="Arial" w:cs="Arial"/>
                <w:sz w:val="18"/>
                <w:szCs w:val="18"/>
                <w:highlight w:val="yellow"/>
              </w:rPr>
              <w:t xml:space="preserve">ff </w:t>
            </w:r>
            <w:r w:rsidR="00B4674D" w:rsidRPr="00CF66E4">
              <w:rPr>
                <w:rFonts w:ascii="Arial" w:hAnsi="Arial" w:cs="Arial"/>
                <w:sz w:val="18"/>
                <w:szCs w:val="18"/>
                <w:highlight w:val="yellow"/>
              </w:rPr>
              <w:t>BankG, Art.</w:t>
            </w:r>
            <w:r w:rsidR="00B4674D" w:rsidRPr="00A938AE">
              <w:rPr>
                <w:rFonts w:ascii="Arial" w:hAnsi="Arial" w:cs="Arial"/>
                <w:sz w:val="18"/>
                <w:szCs w:val="18"/>
                <w:highlight w:val="yellow"/>
              </w:rPr>
              <w:t xml:space="preserve"> 33</w:t>
            </w:r>
            <w:r w:rsidRPr="00CF66E4">
              <w:rPr>
                <w:rFonts w:ascii="Arial" w:hAnsi="Arial" w:cs="Arial"/>
                <w:sz w:val="18"/>
                <w:szCs w:val="18"/>
                <w:highlight w:val="yellow"/>
              </w:rPr>
              <w:t xml:space="preserve"> BankV</w:t>
            </w:r>
            <w:r w:rsidRPr="00644F7F">
              <w:rPr>
                <w:rFonts w:ascii="Arial" w:hAnsi="Arial" w:cs="Arial"/>
                <w:sz w:val="18"/>
                <w:szCs w:val="18"/>
                <w:highlight w:val="yellow"/>
              </w:rPr>
              <w:t xml:space="preserve">; </w:t>
            </w:r>
            <w:r w:rsidR="00132670" w:rsidRPr="00644F7F">
              <w:rPr>
                <w:rFonts w:ascii="Arial" w:hAnsi="Arial" w:cs="Arial"/>
                <w:sz w:val="18"/>
                <w:szCs w:val="18"/>
                <w:highlight w:val="yellow"/>
              </w:rPr>
              <w:t xml:space="preserve">EBA/GL/2021/04; </w:t>
            </w:r>
            <w:r w:rsidR="004F7B49" w:rsidRPr="00644F7F">
              <w:rPr>
                <w:rFonts w:ascii="Arial" w:hAnsi="Arial" w:cs="Arial"/>
                <w:sz w:val="18"/>
                <w:szCs w:val="18"/>
                <w:highlight w:val="yellow"/>
              </w:rPr>
              <w:t xml:space="preserve">EBA/GL/2022/06; </w:t>
            </w:r>
            <w:r w:rsidR="00CC7808" w:rsidRPr="00644F7F">
              <w:rPr>
                <w:rFonts w:ascii="Arial" w:hAnsi="Arial" w:cs="Arial"/>
                <w:sz w:val="18"/>
                <w:szCs w:val="18"/>
                <w:highlight w:val="yellow"/>
              </w:rPr>
              <w:t>EBA/GL/2022/08;</w:t>
            </w:r>
            <w:r w:rsidRPr="00644F7F">
              <w:rPr>
                <w:rFonts w:ascii="Arial" w:hAnsi="Arial" w:cs="Arial"/>
                <w:sz w:val="18"/>
                <w:szCs w:val="18"/>
                <w:highlight w:val="yellow"/>
              </w:rPr>
              <w:t xml:space="preserve"> </w:t>
            </w:r>
            <w:r w:rsidR="00B13D1E" w:rsidRPr="00644F7F">
              <w:rPr>
                <w:rFonts w:ascii="Arial" w:hAnsi="Arial" w:cs="Arial"/>
                <w:sz w:val="18"/>
                <w:szCs w:val="18"/>
                <w:highlight w:val="yellow"/>
              </w:rPr>
              <w:t>EBA/GL/2022/03</w:t>
            </w:r>
            <w:r w:rsidR="00C2622A" w:rsidRPr="00644F7F">
              <w:rPr>
                <w:rFonts w:ascii="Arial" w:hAnsi="Arial" w:cs="Arial"/>
                <w:sz w:val="18"/>
                <w:szCs w:val="18"/>
                <w:highlight w:val="yellow"/>
              </w:rPr>
              <w:t xml:space="preserve">, </w:t>
            </w:r>
            <w:r w:rsidR="00C2622A" w:rsidRPr="00A5103F">
              <w:rPr>
                <w:rFonts w:ascii="Arial" w:hAnsi="Arial" w:cs="Arial"/>
                <w:sz w:val="18"/>
                <w:szCs w:val="18"/>
                <w:highlight w:val="yellow"/>
              </w:rPr>
              <w:t>EBA/GL/2023/08</w:t>
            </w:r>
          </w:p>
        </w:tc>
      </w:tr>
      <w:tr w:rsidR="004A405F" w:rsidRPr="00DE2BE3" w14:paraId="10517B26" w14:textId="77777777" w:rsidTr="00776C82">
        <w:trPr>
          <w:trHeight w:val="294"/>
        </w:trPr>
        <w:tc>
          <w:tcPr>
            <w:tcW w:w="9180" w:type="dxa"/>
            <w:gridSpan w:val="4"/>
          </w:tcPr>
          <w:p w14:paraId="1B61C1B8" w14:textId="77777777" w:rsidR="004A405F" w:rsidRPr="00CF66E4" w:rsidRDefault="004A405F" w:rsidP="00776C82">
            <w:pPr>
              <w:jc w:val="both"/>
              <w:rPr>
                <w:rFonts w:ascii="Arial" w:hAnsi="Arial" w:cs="Arial"/>
                <w:sz w:val="18"/>
                <w:szCs w:val="18"/>
              </w:rPr>
            </w:pPr>
          </w:p>
        </w:tc>
      </w:tr>
      <w:tr w:rsidR="004A405F" w:rsidRPr="009872F3" w14:paraId="0ABDDCAF" w14:textId="77777777" w:rsidTr="00776C82">
        <w:tc>
          <w:tcPr>
            <w:tcW w:w="5798" w:type="dxa"/>
            <w:gridSpan w:val="3"/>
          </w:tcPr>
          <w:p w14:paraId="20EE2956" w14:textId="77777777" w:rsidR="004A405F" w:rsidRPr="009872F3" w:rsidRDefault="004A405F" w:rsidP="008C6EEA">
            <w:pPr>
              <w:jc w:val="both"/>
              <w:rPr>
                <w:rFonts w:ascii="Arial" w:hAnsi="Arial" w:cs="Arial"/>
                <w:sz w:val="18"/>
                <w:szCs w:val="18"/>
              </w:rPr>
            </w:pPr>
            <w:r>
              <w:rPr>
                <w:rFonts w:ascii="Arial" w:hAnsi="Arial" w:cs="Arial"/>
                <w:sz w:val="18"/>
                <w:szCs w:val="18"/>
              </w:rPr>
              <w:t>Bestätigung, dass die internen Verfahren sicherstellen, dass die Vergütungspolitik sowie die Vergütungspraxis gesetzeskonform ausge</w:t>
            </w:r>
            <w:r w:rsidR="008C6EEA">
              <w:rPr>
                <w:rFonts w:ascii="Arial" w:hAnsi="Arial" w:cs="Arial"/>
                <w:sz w:val="18"/>
                <w:szCs w:val="18"/>
              </w:rPr>
              <w:t>staltet sind</w:t>
            </w:r>
            <w:r>
              <w:rPr>
                <w:rFonts w:ascii="Arial" w:hAnsi="Arial" w:cs="Arial"/>
                <w:sz w:val="18"/>
                <w:szCs w:val="18"/>
              </w:rPr>
              <w:t xml:space="preserve">. </w:t>
            </w:r>
          </w:p>
        </w:tc>
        <w:tc>
          <w:tcPr>
            <w:tcW w:w="3382" w:type="dxa"/>
          </w:tcPr>
          <w:p w14:paraId="6BB49B7C" w14:textId="77777777" w:rsidR="004A405F" w:rsidRPr="00E109DF" w:rsidRDefault="004A405F" w:rsidP="00776C82">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665E028" w14:textId="77777777" w:rsidTr="00776C82">
        <w:tc>
          <w:tcPr>
            <w:tcW w:w="5798" w:type="dxa"/>
            <w:gridSpan w:val="3"/>
          </w:tcPr>
          <w:p w14:paraId="30C7EA23" w14:textId="77777777" w:rsidR="004A405F" w:rsidRDefault="004A405F" w:rsidP="00776C82">
            <w:pPr>
              <w:jc w:val="both"/>
              <w:rPr>
                <w:rFonts w:ascii="Arial" w:hAnsi="Arial" w:cs="Arial"/>
                <w:sz w:val="18"/>
                <w:szCs w:val="18"/>
              </w:rPr>
            </w:pPr>
            <w:r>
              <w:rPr>
                <w:rFonts w:ascii="Arial" w:hAnsi="Arial" w:cs="Arial"/>
                <w:sz w:val="18"/>
                <w:szCs w:val="18"/>
              </w:rPr>
              <w:t>Bestätigung, dass die internen Verfahren gewährleisten, dass das Vergütungssystem keine Anreize zum Eingehen überhöhter Risiken beinhaltet</w:t>
            </w:r>
          </w:p>
        </w:tc>
        <w:tc>
          <w:tcPr>
            <w:tcW w:w="3382" w:type="dxa"/>
          </w:tcPr>
          <w:p w14:paraId="006DFBEA"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1E3453" w:rsidRPr="009872F3" w14:paraId="1A6844E6" w14:textId="77777777" w:rsidTr="003F2BF8">
        <w:tc>
          <w:tcPr>
            <w:tcW w:w="5798" w:type="dxa"/>
            <w:gridSpan w:val="3"/>
          </w:tcPr>
          <w:p w14:paraId="5D550F16" w14:textId="77777777" w:rsidR="001E3453" w:rsidRDefault="001E3453" w:rsidP="003F2BF8">
            <w:pPr>
              <w:jc w:val="both"/>
              <w:rPr>
                <w:rFonts w:ascii="Arial" w:hAnsi="Arial" w:cs="Arial"/>
                <w:sz w:val="18"/>
                <w:szCs w:val="18"/>
              </w:rPr>
            </w:pPr>
            <w:r>
              <w:rPr>
                <w:rFonts w:ascii="Arial" w:hAnsi="Arial" w:cs="Arial"/>
                <w:sz w:val="18"/>
                <w:szCs w:val="18"/>
              </w:rPr>
              <w:t xml:space="preserve">Bestätigung, dass die internen Verfahren Massnahmen zur Vermeidung von Interessenskonflikten (insb. hinsichtlich der Entschädigung von Kontrollfunktionen wie Compliance, Interne Revision und Risikomanagement) sicherstellen. </w:t>
            </w:r>
          </w:p>
        </w:tc>
        <w:tc>
          <w:tcPr>
            <w:tcW w:w="3382" w:type="dxa"/>
          </w:tcPr>
          <w:p w14:paraId="233098F2" w14:textId="77777777" w:rsidR="001E3453" w:rsidRPr="00E109DF" w:rsidRDefault="001E3453" w:rsidP="003F2BF8">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 </w:t>
            </w:r>
          </w:p>
        </w:tc>
      </w:tr>
      <w:tr w:rsidR="004A405F" w:rsidRPr="009872F3" w14:paraId="313632C0" w14:textId="77777777" w:rsidTr="00776C82">
        <w:tc>
          <w:tcPr>
            <w:tcW w:w="5798" w:type="dxa"/>
            <w:gridSpan w:val="3"/>
          </w:tcPr>
          <w:p w14:paraId="2D27DBE3" w14:textId="77777777" w:rsidR="004A405F" w:rsidRDefault="004A405F" w:rsidP="00776C82">
            <w:pPr>
              <w:jc w:val="both"/>
              <w:rPr>
                <w:rFonts w:ascii="Arial" w:hAnsi="Arial" w:cs="Arial"/>
                <w:sz w:val="18"/>
                <w:szCs w:val="18"/>
              </w:rPr>
            </w:pPr>
            <w:r>
              <w:rPr>
                <w:rFonts w:ascii="Arial" w:hAnsi="Arial" w:cs="Arial"/>
                <w:sz w:val="18"/>
                <w:szCs w:val="18"/>
              </w:rPr>
              <w:t>Bestätigung, dass die internen Verfahren die korrekte Identifizierung der „Risk Takers“ sicherstellen</w:t>
            </w:r>
          </w:p>
        </w:tc>
        <w:tc>
          <w:tcPr>
            <w:tcW w:w="3382" w:type="dxa"/>
          </w:tcPr>
          <w:p w14:paraId="6D2B4D02"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FFEBF3C" w14:textId="77777777" w:rsidTr="00776C82">
        <w:tc>
          <w:tcPr>
            <w:tcW w:w="5798" w:type="dxa"/>
            <w:gridSpan w:val="3"/>
          </w:tcPr>
          <w:p w14:paraId="0745AE52" w14:textId="77777777" w:rsidR="004A405F" w:rsidRDefault="004A405F" w:rsidP="00776C82">
            <w:pPr>
              <w:jc w:val="both"/>
              <w:rPr>
                <w:rFonts w:ascii="Arial" w:hAnsi="Arial" w:cs="Arial"/>
                <w:sz w:val="18"/>
                <w:szCs w:val="18"/>
              </w:rPr>
            </w:pPr>
            <w:r>
              <w:rPr>
                <w:rFonts w:ascii="Arial" w:hAnsi="Arial" w:cs="Arial"/>
                <w:sz w:val="18"/>
                <w:szCs w:val="18"/>
              </w:rPr>
              <w:t xml:space="preserve">Bestätigung, dass die internen Verfahren ein angemessenes Verhältnis zwischen fixer und variabler Vergütung </w:t>
            </w:r>
            <w:r w:rsidR="00B90132">
              <w:rPr>
                <w:rFonts w:ascii="Arial" w:hAnsi="Arial" w:cs="Arial"/>
                <w:sz w:val="18"/>
                <w:szCs w:val="18"/>
              </w:rPr>
              <w:t xml:space="preserve">bei Mitgliedern des Verwaltungsrats, der Geschäftsleitung und sonstigen Mitarbeitern insb. Inhabern von Schlüsselfunktionen </w:t>
            </w:r>
            <w:r>
              <w:rPr>
                <w:rFonts w:ascii="Arial" w:hAnsi="Arial" w:cs="Arial"/>
                <w:sz w:val="18"/>
                <w:szCs w:val="18"/>
              </w:rPr>
              <w:t xml:space="preserve">sicherstellen. </w:t>
            </w:r>
          </w:p>
        </w:tc>
        <w:tc>
          <w:tcPr>
            <w:tcW w:w="3382" w:type="dxa"/>
          </w:tcPr>
          <w:p w14:paraId="173D269B" w14:textId="77777777" w:rsidR="004A405F" w:rsidRPr="00E109DF" w:rsidRDefault="004A405F"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3639B0" w:rsidRPr="009872F3" w14:paraId="433D57DA" w14:textId="77777777" w:rsidTr="00776C82">
        <w:tc>
          <w:tcPr>
            <w:tcW w:w="5798" w:type="dxa"/>
            <w:gridSpan w:val="3"/>
          </w:tcPr>
          <w:p w14:paraId="0AFB19BF" w14:textId="395F5340" w:rsidR="003639B0" w:rsidRDefault="003639B0" w:rsidP="00776C82">
            <w:pPr>
              <w:jc w:val="both"/>
              <w:rPr>
                <w:rFonts w:ascii="Arial" w:hAnsi="Arial" w:cs="Arial"/>
                <w:sz w:val="18"/>
                <w:szCs w:val="18"/>
              </w:rPr>
            </w:pPr>
            <w:r>
              <w:rPr>
                <w:rFonts w:ascii="Arial" w:hAnsi="Arial" w:cs="Arial"/>
                <w:sz w:val="18"/>
                <w:szCs w:val="18"/>
              </w:rPr>
              <w:t>Bestätigung, dass die internen Verfahren die angemessene Einhaltung der Zurückbehaltungsregeln von Teilen der variablen Vergütung sicherstellen.</w:t>
            </w:r>
          </w:p>
        </w:tc>
        <w:tc>
          <w:tcPr>
            <w:tcW w:w="3382" w:type="dxa"/>
          </w:tcPr>
          <w:p w14:paraId="5E1769A9" w14:textId="77777777" w:rsidR="003639B0" w:rsidRPr="00E109DF" w:rsidRDefault="003639B0"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4A405F" w:rsidRPr="009872F3" w14:paraId="1D6E35FB" w14:textId="77777777" w:rsidTr="00776C82">
        <w:tc>
          <w:tcPr>
            <w:tcW w:w="5798" w:type="dxa"/>
            <w:gridSpan w:val="3"/>
          </w:tcPr>
          <w:p w14:paraId="23602FC5" w14:textId="77777777" w:rsidR="004A405F" w:rsidRDefault="001E3453" w:rsidP="00776C82">
            <w:pPr>
              <w:jc w:val="both"/>
              <w:rPr>
                <w:rFonts w:ascii="Arial" w:hAnsi="Arial" w:cs="Arial"/>
                <w:sz w:val="18"/>
                <w:szCs w:val="18"/>
              </w:rPr>
            </w:pPr>
            <w:r>
              <w:rPr>
                <w:rFonts w:ascii="Arial" w:hAnsi="Arial" w:cs="Arial"/>
                <w:sz w:val="18"/>
                <w:szCs w:val="18"/>
              </w:rPr>
              <w:t xml:space="preserve">Bestätigung, dass die internen Verfahren sicherstellen, dass die Erfolgsmessung für die variable Vergütung alle Arten von </w:t>
            </w:r>
            <w:r w:rsidR="00243B63">
              <w:rPr>
                <w:rFonts w:ascii="Arial" w:hAnsi="Arial" w:cs="Arial"/>
                <w:sz w:val="18"/>
                <w:szCs w:val="18"/>
              </w:rPr>
              <w:t xml:space="preserve">wesentlichen </w:t>
            </w:r>
            <w:r>
              <w:rPr>
                <w:rFonts w:ascii="Arial" w:hAnsi="Arial" w:cs="Arial"/>
                <w:sz w:val="18"/>
                <w:szCs w:val="18"/>
              </w:rPr>
              <w:t xml:space="preserve">laufenden und künftigen Risiken, die Kapitalkosten und die erforderlichen Liquidität mitberücksichtigt. </w:t>
            </w:r>
          </w:p>
        </w:tc>
        <w:tc>
          <w:tcPr>
            <w:tcW w:w="3382" w:type="dxa"/>
          </w:tcPr>
          <w:p w14:paraId="3C156FC9" w14:textId="77777777" w:rsidR="004A405F" w:rsidRPr="00E109DF" w:rsidRDefault="001E3453"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819AE5C" w14:textId="77777777" w:rsidR="004A405F" w:rsidRDefault="004A405F" w:rsidP="004A405F">
      <w:pPr>
        <w:jc w:val="both"/>
      </w:pPr>
    </w:p>
    <w:tbl>
      <w:tblPr>
        <w:tblStyle w:val="Tabellenraster"/>
        <w:tblW w:w="0" w:type="auto"/>
        <w:tblLook w:val="04A0" w:firstRow="1" w:lastRow="0" w:firstColumn="1" w:lastColumn="0" w:noHBand="0" w:noVBand="1"/>
      </w:tblPr>
      <w:tblGrid>
        <w:gridCol w:w="2660"/>
        <w:gridCol w:w="6520"/>
      </w:tblGrid>
      <w:tr w:rsidR="004A405F" w:rsidRPr="00CE3194" w14:paraId="01F01991" w14:textId="77777777" w:rsidTr="00776C82">
        <w:tc>
          <w:tcPr>
            <w:tcW w:w="2660" w:type="dxa"/>
          </w:tcPr>
          <w:p w14:paraId="7C42C088" w14:textId="77777777" w:rsidR="004A405F" w:rsidRPr="00CE3194" w:rsidRDefault="004A405F" w:rsidP="00776C82">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27E11BB1" w14:textId="77777777" w:rsidR="004A405F" w:rsidRPr="00CE3194" w:rsidRDefault="004A405F" w:rsidP="00776C82">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4A405F" w:rsidRPr="00CE3194" w14:paraId="2CF162BD" w14:textId="77777777" w:rsidTr="00776C82">
        <w:tc>
          <w:tcPr>
            <w:tcW w:w="2660" w:type="dxa"/>
          </w:tcPr>
          <w:p w14:paraId="73116EFE" w14:textId="77777777" w:rsidR="004A405F" w:rsidRDefault="004A405F" w:rsidP="00776C82">
            <w:pPr>
              <w:jc w:val="both"/>
              <w:rPr>
                <w:rFonts w:ascii="Arial" w:hAnsi="Arial" w:cs="Arial"/>
                <w:i/>
                <w:sz w:val="20"/>
                <w:szCs w:val="20"/>
                <w:highlight w:val="lightGray"/>
              </w:rPr>
            </w:pPr>
            <w:r>
              <w:rPr>
                <w:rFonts w:ascii="Arial" w:hAnsi="Arial" w:cs="Arial"/>
                <w:i/>
                <w:sz w:val="20"/>
                <w:szCs w:val="20"/>
                <w:highlight w:val="lightGray"/>
              </w:rPr>
              <w:t>Ausgestaltung der Vergütungspolitik</w:t>
            </w:r>
          </w:p>
        </w:tc>
        <w:tc>
          <w:tcPr>
            <w:tcW w:w="6520" w:type="dxa"/>
          </w:tcPr>
          <w:p w14:paraId="7EDC03A1" w14:textId="77777777" w:rsidR="00F151AE" w:rsidRPr="00F151AE" w:rsidRDefault="00F151AE" w:rsidP="00F151AE">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Vergütungspolitik wurde angemessen genehmigt und dokumentiert. </w:t>
            </w:r>
          </w:p>
          <w:p w14:paraId="3D627531" w14:textId="455F5A9E" w:rsidR="00B90132" w:rsidRDefault="00F151AE" w:rsidP="00F151AE">
            <w:pPr>
              <w:pStyle w:val="Listenabsatz"/>
              <w:numPr>
                <w:ilvl w:val="1"/>
                <w:numId w:val="17"/>
              </w:numPr>
              <w:ind w:left="317" w:hanging="283"/>
              <w:jc w:val="both"/>
              <w:rPr>
                <w:rFonts w:cs="Arial"/>
                <w:i/>
                <w:szCs w:val="20"/>
                <w:highlight w:val="lightGray"/>
              </w:rPr>
            </w:pPr>
            <w:r>
              <w:rPr>
                <w:rFonts w:cs="Arial"/>
                <w:i/>
                <w:szCs w:val="20"/>
                <w:highlight w:val="lightGray"/>
              </w:rPr>
              <w:lastRenderedPageBreak/>
              <w:t xml:space="preserve">Die Vergütungspolitik ist gesetzeskonform und verhältnismässig ausgestaltet, insb. im Einklang mit dem Risikoappetit, der Geschäftsstrategie und den langfristigen Interessen der </w:t>
            </w:r>
            <w:r w:rsidR="00381E36">
              <w:rPr>
                <w:rFonts w:cs="Arial"/>
                <w:i/>
                <w:szCs w:val="20"/>
                <w:highlight w:val="lightGray"/>
              </w:rPr>
              <w:t xml:space="preserve">Bank bzw. </w:t>
            </w:r>
            <w:r w:rsidR="00381E36" w:rsidRPr="00CE3194">
              <w:rPr>
                <w:rFonts w:cs="Arial"/>
                <w:i/>
                <w:szCs w:val="20"/>
                <w:highlight w:val="lightGray"/>
              </w:rPr>
              <w:t>der Gruppe</w:t>
            </w:r>
            <w:r w:rsidR="00381E36" w:rsidDel="00381E36">
              <w:rPr>
                <w:rFonts w:cs="Arial"/>
                <w:i/>
                <w:szCs w:val="20"/>
                <w:highlight w:val="lightGray"/>
              </w:rPr>
              <w:t xml:space="preserve"> </w:t>
            </w:r>
            <w:r w:rsidR="00B90132">
              <w:rPr>
                <w:rFonts w:cs="Arial"/>
                <w:i/>
                <w:szCs w:val="20"/>
                <w:highlight w:val="lightGray"/>
              </w:rPr>
              <w:t xml:space="preserve">Die Vergütungspolitik umfasst die Vergütung zu sämtlichen Mitarbeitern der </w:t>
            </w:r>
            <w:r w:rsidR="00381E36">
              <w:rPr>
                <w:rFonts w:cs="Arial"/>
                <w:i/>
                <w:szCs w:val="20"/>
                <w:highlight w:val="lightGray"/>
              </w:rPr>
              <w:t xml:space="preserve">Bank bzw. </w:t>
            </w:r>
            <w:r w:rsidR="00381E36" w:rsidRPr="00CE3194">
              <w:rPr>
                <w:rFonts w:cs="Arial"/>
                <w:i/>
                <w:szCs w:val="20"/>
                <w:highlight w:val="lightGray"/>
              </w:rPr>
              <w:t>der Gruppe</w:t>
            </w:r>
          </w:p>
          <w:p w14:paraId="0536A096" w14:textId="77777777" w:rsidR="00B90132" w:rsidRPr="00F151AE" w:rsidRDefault="00B90132" w:rsidP="00F151AE">
            <w:pPr>
              <w:pStyle w:val="Listenabsatz"/>
              <w:numPr>
                <w:ilvl w:val="1"/>
                <w:numId w:val="17"/>
              </w:numPr>
              <w:ind w:left="317" w:hanging="283"/>
              <w:jc w:val="both"/>
              <w:rPr>
                <w:rFonts w:cs="Arial"/>
                <w:i/>
                <w:szCs w:val="20"/>
                <w:highlight w:val="lightGray"/>
              </w:rPr>
            </w:pPr>
            <w:r>
              <w:rPr>
                <w:rFonts w:cs="Arial"/>
                <w:i/>
                <w:szCs w:val="20"/>
                <w:highlight w:val="lightGray"/>
              </w:rPr>
              <w:t>Die Vergütungspolitik umfasst sämtliche Arten und Verfahren von Vergütungsmethoden und Auszahlungen</w:t>
            </w:r>
          </w:p>
          <w:p w14:paraId="1BBB4E6C" w14:textId="77777777" w:rsidR="004A405F" w:rsidRDefault="00F151AE" w:rsidP="00776C82">
            <w:pPr>
              <w:pStyle w:val="Listenabsatz"/>
              <w:numPr>
                <w:ilvl w:val="1"/>
                <w:numId w:val="17"/>
              </w:numPr>
              <w:ind w:left="317" w:hanging="283"/>
              <w:jc w:val="both"/>
              <w:rPr>
                <w:rFonts w:cs="Arial"/>
                <w:i/>
                <w:szCs w:val="20"/>
                <w:highlight w:val="lightGray"/>
              </w:rPr>
            </w:pPr>
            <w:r>
              <w:rPr>
                <w:rFonts w:cs="Arial"/>
                <w:i/>
                <w:szCs w:val="20"/>
                <w:highlight w:val="lightGray"/>
              </w:rPr>
              <w:t>Das Vergütungssystem beinhaltet keine Anreize zum Eingehen überhöhter Risiken</w:t>
            </w:r>
          </w:p>
          <w:p w14:paraId="7BBC33FC" w14:textId="77777777" w:rsidR="00B90132" w:rsidRDefault="00F151AE" w:rsidP="00CB3EE6">
            <w:pPr>
              <w:pStyle w:val="Listenabsatz"/>
              <w:numPr>
                <w:ilvl w:val="1"/>
                <w:numId w:val="17"/>
              </w:numPr>
              <w:ind w:left="317" w:hanging="283"/>
              <w:jc w:val="both"/>
              <w:rPr>
                <w:rFonts w:cs="Arial"/>
                <w:i/>
                <w:szCs w:val="20"/>
                <w:highlight w:val="lightGray"/>
              </w:rPr>
            </w:pPr>
            <w:r>
              <w:rPr>
                <w:rFonts w:cs="Arial"/>
                <w:i/>
                <w:szCs w:val="20"/>
                <w:highlight w:val="lightGray"/>
              </w:rPr>
              <w:t>Die Vergütungspolitik beinhaltet Massnahmen zur Vermeidung von Interessenskonflikten (</w:t>
            </w:r>
            <w:r w:rsidRPr="00F151AE">
              <w:rPr>
                <w:rFonts w:cs="Arial"/>
                <w:i/>
                <w:szCs w:val="20"/>
                <w:highlight w:val="lightGray"/>
              </w:rPr>
              <w:t>insb. hinsichtlich der Entschädigung von Kontrollfunktionen wie Compliance, Interne Revision und Risik</w:t>
            </w:r>
            <w:r w:rsidRPr="003639B0">
              <w:rPr>
                <w:rFonts w:cs="Arial"/>
                <w:i/>
                <w:szCs w:val="20"/>
                <w:highlight w:val="lightGray"/>
              </w:rPr>
              <w:t>o</w:t>
            </w:r>
            <w:r w:rsidRPr="00F151AE">
              <w:rPr>
                <w:rFonts w:cs="Arial"/>
                <w:i/>
                <w:szCs w:val="20"/>
                <w:highlight w:val="lightGray"/>
              </w:rPr>
              <w:t>management)</w:t>
            </w:r>
          </w:p>
          <w:p w14:paraId="15403B9E" w14:textId="77777777" w:rsidR="00B90132" w:rsidRDefault="00B90132" w:rsidP="00CB3EE6">
            <w:pPr>
              <w:pStyle w:val="Listenabsatz"/>
              <w:numPr>
                <w:ilvl w:val="1"/>
                <w:numId w:val="17"/>
              </w:numPr>
              <w:ind w:left="317" w:hanging="283"/>
              <w:jc w:val="both"/>
              <w:rPr>
                <w:rFonts w:cs="Arial"/>
                <w:i/>
                <w:szCs w:val="20"/>
                <w:highlight w:val="lightGray"/>
              </w:rPr>
            </w:pPr>
            <w:r>
              <w:rPr>
                <w:rFonts w:cs="Arial"/>
                <w:i/>
                <w:szCs w:val="20"/>
                <w:highlight w:val="lightGray"/>
              </w:rPr>
              <w:t xml:space="preserve">Die Vergütung der Mitglieder der Geschäftsleitung und der Leiter des Risikomanagements und Compliance wird vom Verwaltungsrat </w:t>
            </w:r>
            <w:r w:rsidR="00CC7808">
              <w:rPr>
                <w:rFonts w:cs="Arial"/>
                <w:i/>
                <w:szCs w:val="20"/>
                <w:highlight w:val="lightGray"/>
              </w:rPr>
              <w:t xml:space="preserve">resp. Vergütungsausschuss </w:t>
            </w:r>
            <w:r>
              <w:rPr>
                <w:rFonts w:cs="Arial"/>
                <w:i/>
                <w:szCs w:val="20"/>
                <w:highlight w:val="lightGray"/>
              </w:rPr>
              <w:t xml:space="preserve">unmittelbar überprüft. </w:t>
            </w:r>
          </w:p>
          <w:p w14:paraId="7E2357EF" w14:textId="6B15CC6C" w:rsidR="002A5D21" w:rsidRPr="00B90132" w:rsidRDefault="002A5D21" w:rsidP="002A5D21">
            <w:pPr>
              <w:pStyle w:val="Listenabsatz"/>
              <w:numPr>
                <w:ilvl w:val="1"/>
                <w:numId w:val="17"/>
              </w:numPr>
              <w:ind w:left="317" w:hanging="283"/>
              <w:jc w:val="both"/>
              <w:rPr>
                <w:rFonts w:cs="Arial"/>
                <w:i/>
                <w:szCs w:val="20"/>
                <w:highlight w:val="lightGray"/>
              </w:rPr>
            </w:pPr>
            <w:r w:rsidRPr="0099798B">
              <w:rPr>
                <w:rFonts w:cs="Arial"/>
                <w:i/>
                <w:szCs w:val="20"/>
                <w:highlight w:val="lightGray"/>
              </w:rPr>
              <w:t>ESG-Faktoren werden angemessen berücksichtigt</w:t>
            </w:r>
          </w:p>
        </w:tc>
      </w:tr>
      <w:tr w:rsidR="00AB193D" w:rsidRPr="00CE3194" w14:paraId="4C14109D" w14:textId="77777777" w:rsidTr="00776C82">
        <w:tc>
          <w:tcPr>
            <w:tcW w:w="2660" w:type="dxa"/>
          </w:tcPr>
          <w:p w14:paraId="4365AA54" w14:textId="77777777" w:rsidR="00AB193D" w:rsidRDefault="00AB193D" w:rsidP="00776C82">
            <w:pPr>
              <w:jc w:val="both"/>
              <w:rPr>
                <w:rFonts w:ascii="Arial" w:hAnsi="Arial" w:cs="Arial"/>
                <w:i/>
                <w:sz w:val="20"/>
                <w:szCs w:val="20"/>
                <w:highlight w:val="lightGray"/>
              </w:rPr>
            </w:pPr>
            <w:r>
              <w:rPr>
                <w:rFonts w:ascii="Arial" w:hAnsi="Arial" w:cs="Arial"/>
                <w:i/>
                <w:sz w:val="20"/>
                <w:szCs w:val="20"/>
                <w:highlight w:val="lightGray"/>
              </w:rPr>
              <w:lastRenderedPageBreak/>
              <w:t>Ausgestaltung der Vergütungspraxis insb. hinsichtlich variabler Vergütung</w:t>
            </w:r>
          </w:p>
        </w:tc>
        <w:tc>
          <w:tcPr>
            <w:tcW w:w="6520" w:type="dxa"/>
          </w:tcPr>
          <w:p w14:paraId="2E441ECD" w14:textId="65E5CB25" w:rsidR="00AB193D" w:rsidRDefault="00AB193D" w:rsidP="00B90132">
            <w:pPr>
              <w:pStyle w:val="Listenabsatz"/>
              <w:numPr>
                <w:ilvl w:val="1"/>
                <w:numId w:val="17"/>
              </w:numPr>
              <w:ind w:left="317" w:hanging="283"/>
              <w:jc w:val="both"/>
              <w:rPr>
                <w:rFonts w:cs="Arial"/>
                <w:i/>
                <w:szCs w:val="20"/>
                <w:highlight w:val="lightGray"/>
              </w:rPr>
            </w:pPr>
            <w:r>
              <w:rPr>
                <w:rFonts w:cs="Arial"/>
                <w:i/>
                <w:szCs w:val="20"/>
                <w:highlight w:val="lightGray"/>
              </w:rPr>
              <w:t>Die Vergütungspraxis ist gesetzeskonform und verhältnismässig ausgestaltet, insb. im Einklang mit dem Risikoappetit, der Geschäftsstrategie und den langfristigen Interessen der Bank / Gruppe</w:t>
            </w:r>
          </w:p>
          <w:p w14:paraId="065E607D" w14:textId="77777777"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Das Verhältnis zwischen variabler und fixer Vergütung bei Mitgliedern des Verwaltungsrats, der Geschäftsleitung und sonstigen Mitarbeitern insb. Inhabern von Schlüsselfunktionen ist angemessen.</w:t>
            </w:r>
          </w:p>
          <w:p w14:paraId="6DA84FDC" w14:textId="5B234280"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Die variable Vergütung wird in Instrumenten oder anhand von Verfahren ausgezahlt, welche die grundsätzliche Vergütungspolitik nicht unterlaufen</w:t>
            </w:r>
            <w:r w:rsidR="00CC7808">
              <w:rPr>
                <w:rFonts w:cs="Arial"/>
                <w:i/>
                <w:szCs w:val="20"/>
                <w:highlight w:val="lightGray"/>
              </w:rPr>
              <w:t xml:space="preserve"> und den regulatorischen Bestimmungen entspricht</w:t>
            </w:r>
            <w:r>
              <w:rPr>
                <w:rFonts w:cs="Arial"/>
                <w:i/>
                <w:szCs w:val="20"/>
                <w:highlight w:val="lightGray"/>
              </w:rPr>
              <w:t xml:space="preserve">. </w:t>
            </w:r>
          </w:p>
          <w:p w14:paraId="6D0C8A74" w14:textId="77777777" w:rsidR="00AB193D" w:rsidRDefault="00AB193D" w:rsidP="00AB193D">
            <w:pPr>
              <w:pStyle w:val="Listenabsatz"/>
              <w:numPr>
                <w:ilvl w:val="1"/>
                <w:numId w:val="17"/>
              </w:numPr>
              <w:ind w:left="317" w:hanging="283"/>
              <w:jc w:val="both"/>
              <w:rPr>
                <w:rFonts w:cs="Arial"/>
                <w:i/>
                <w:szCs w:val="20"/>
                <w:highlight w:val="lightGray"/>
              </w:rPr>
            </w:pPr>
            <w:r w:rsidRPr="0001624A">
              <w:rPr>
                <w:rFonts w:cs="Arial"/>
                <w:i/>
                <w:szCs w:val="20"/>
                <w:highlight w:val="lightGray"/>
              </w:rPr>
              <w:t>Die Erfolgsmessung, anhand derer variable Vergütungskomponenten oder Pools von variablen Vergütungskomponenten berechnet werden, schliesst die Berichtigung für alle Arten von laufenden und künftigen Risiken ein und trägt den Kapitalkosten und der erforderlichen Liquidität Rechnung</w:t>
            </w:r>
          </w:p>
          <w:p w14:paraId="152874C3" w14:textId="190982E3" w:rsidR="00AB193D" w:rsidRDefault="00AB193D" w:rsidP="00AB193D">
            <w:pPr>
              <w:pStyle w:val="Listenabsatz"/>
              <w:numPr>
                <w:ilvl w:val="1"/>
                <w:numId w:val="17"/>
              </w:numPr>
              <w:ind w:left="317" w:hanging="283"/>
              <w:jc w:val="both"/>
              <w:rPr>
                <w:rFonts w:cs="Arial"/>
                <w:i/>
                <w:szCs w:val="20"/>
                <w:highlight w:val="lightGray"/>
              </w:rPr>
            </w:pPr>
            <w:r>
              <w:rPr>
                <w:rFonts w:cs="Arial"/>
                <w:i/>
                <w:szCs w:val="20"/>
                <w:highlight w:val="lightGray"/>
              </w:rPr>
              <w:t>Die Zurückbehaltungsregeln von Teilen der variablen Vergütung</w:t>
            </w:r>
            <w:r w:rsidR="00CC7808">
              <w:rPr>
                <w:rFonts w:cs="Arial"/>
                <w:i/>
                <w:szCs w:val="20"/>
                <w:highlight w:val="lightGray"/>
              </w:rPr>
              <w:t xml:space="preserve"> gemäss regulatorischer Grundlagen</w:t>
            </w:r>
            <w:r>
              <w:rPr>
                <w:rFonts w:cs="Arial"/>
                <w:i/>
                <w:szCs w:val="20"/>
                <w:highlight w:val="lightGray"/>
              </w:rPr>
              <w:t xml:space="preserve"> werden angemessen eingehalten</w:t>
            </w:r>
          </w:p>
        </w:tc>
      </w:tr>
      <w:tr w:rsidR="004A405F" w:rsidRPr="00CE3194" w14:paraId="4B4515FE" w14:textId="77777777" w:rsidTr="00776C82">
        <w:tc>
          <w:tcPr>
            <w:tcW w:w="2660" w:type="dxa"/>
          </w:tcPr>
          <w:p w14:paraId="38CE4495" w14:textId="77777777" w:rsidR="004A405F" w:rsidRDefault="004A405F" w:rsidP="00776C82">
            <w:pPr>
              <w:jc w:val="both"/>
              <w:rPr>
                <w:rFonts w:ascii="Arial" w:hAnsi="Arial" w:cs="Arial"/>
                <w:i/>
                <w:sz w:val="20"/>
                <w:szCs w:val="20"/>
                <w:highlight w:val="lightGray"/>
              </w:rPr>
            </w:pPr>
            <w:r>
              <w:rPr>
                <w:rFonts w:ascii="Arial" w:hAnsi="Arial" w:cs="Arial"/>
                <w:i/>
                <w:sz w:val="20"/>
                <w:szCs w:val="20"/>
                <w:highlight w:val="lightGray"/>
              </w:rPr>
              <w:t>Identifikationsverfahren</w:t>
            </w:r>
          </w:p>
        </w:tc>
        <w:tc>
          <w:tcPr>
            <w:tcW w:w="6520" w:type="dxa"/>
          </w:tcPr>
          <w:p w14:paraId="5C29D108" w14:textId="3BAF3703" w:rsidR="00F151AE" w:rsidRPr="00B90132" w:rsidRDefault="00F151AE" w:rsidP="00B90132">
            <w:pPr>
              <w:pStyle w:val="Listenabsatz"/>
              <w:numPr>
                <w:ilvl w:val="1"/>
                <w:numId w:val="17"/>
              </w:numPr>
              <w:ind w:left="317" w:hanging="283"/>
              <w:jc w:val="both"/>
              <w:rPr>
                <w:rFonts w:cs="Arial"/>
                <w:i/>
                <w:szCs w:val="20"/>
                <w:highlight w:val="lightGray"/>
              </w:rPr>
            </w:pPr>
            <w:r>
              <w:rPr>
                <w:rFonts w:cs="Arial"/>
                <w:i/>
                <w:szCs w:val="20"/>
                <w:highlight w:val="lightGray"/>
              </w:rPr>
              <w:t xml:space="preserve">Mitarbeiter, deren berufliche Tätigkeit sich wesentlich auf das Risikoprofil der </w:t>
            </w:r>
            <w:r w:rsidR="00381E36">
              <w:rPr>
                <w:rFonts w:cs="Arial"/>
                <w:i/>
                <w:szCs w:val="20"/>
                <w:highlight w:val="lightGray"/>
              </w:rPr>
              <w:t xml:space="preserve">Bank bzw. </w:t>
            </w:r>
            <w:r w:rsidR="00381E36" w:rsidRPr="00CE3194">
              <w:rPr>
                <w:rFonts w:cs="Arial"/>
                <w:i/>
                <w:szCs w:val="20"/>
                <w:highlight w:val="lightGray"/>
              </w:rPr>
              <w:t>der Gruppe</w:t>
            </w:r>
            <w:r w:rsidR="00381E36" w:rsidDel="00381E36">
              <w:rPr>
                <w:rFonts w:cs="Arial"/>
                <w:i/>
                <w:szCs w:val="20"/>
                <w:highlight w:val="lightGray"/>
              </w:rPr>
              <w:t xml:space="preserve"> </w:t>
            </w:r>
            <w:r>
              <w:rPr>
                <w:rFonts w:cs="Arial"/>
                <w:i/>
                <w:szCs w:val="20"/>
                <w:highlight w:val="lightGray"/>
              </w:rPr>
              <w:t>auswirken werden korrekt identifiziert</w:t>
            </w:r>
          </w:p>
        </w:tc>
      </w:tr>
    </w:tbl>
    <w:p w14:paraId="3469954E" w14:textId="77777777" w:rsidR="004A405F" w:rsidRDefault="004A405F" w:rsidP="004A405F">
      <w:pPr>
        <w:jc w:val="both"/>
      </w:pPr>
    </w:p>
    <w:p w14:paraId="5191979E" w14:textId="77777777" w:rsidR="004A405F" w:rsidRPr="00276C60" w:rsidRDefault="004A405F" w:rsidP="004A405F">
      <w:pPr>
        <w:jc w:val="both"/>
        <w:rPr>
          <w:rFonts w:ascii="Arial" w:hAnsi="Arial" w:cs="Arial"/>
          <w:i/>
          <w:sz w:val="20"/>
          <w:szCs w:val="20"/>
        </w:rPr>
      </w:pPr>
      <w:r w:rsidRPr="00276C60">
        <w:rPr>
          <w:rFonts w:ascii="Arial" w:hAnsi="Arial" w:cs="Arial"/>
          <w:i/>
          <w:sz w:val="20"/>
          <w:szCs w:val="20"/>
          <w:highlight w:val="yellow"/>
        </w:rPr>
        <w:t>Text</w:t>
      </w:r>
    </w:p>
    <w:p w14:paraId="597270C6" w14:textId="77777777" w:rsidR="004A405F" w:rsidRDefault="004A405F" w:rsidP="00CB3EE6">
      <w:pPr>
        <w:jc w:val="both"/>
      </w:pPr>
    </w:p>
    <w:p w14:paraId="165D36BF" w14:textId="77777777" w:rsidR="004A405F" w:rsidRDefault="004A405F" w:rsidP="00CB3EE6">
      <w:pPr>
        <w:jc w:val="both"/>
      </w:pPr>
    </w:p>
    <w:p w14:paraId="1109F68F" w14:textId="4BDE4F7F" w:rsidR="008C30D1" w:rsidRDefault="008C30D1" w:rsidP="006F7AB5">
      <w:pPr>
        <w:pStyle w:val="FINMAGliederungEbene3"/>
      </w:pPr>
      <w:bookmarkStart w:id="70" w:name="_Toc216425815"/>
      <w:r>
        <w:t>Offenlegung</w:t>
      </w:r>
      <w:r w:rsidR="0003063F">
        <w:t xml:space="preserve"> (GOV-1</w:t>
      </w:r>
      <w:r w:rsidR="002561FD">
        <w:t>1</w:t>
      </w:r>
      <w:r w:rsidR="0003063F">
        <w:t>)</w:t>
      </w:r>
      <w:bookmarkEnd w:id="70"/>
    </w:p>
    <w:p w14:paraId="46449621" w14:textId="77777777" w:rsidR="007645E1" w:rsidRDefault="007645E1"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7645E1" w:rsidRPr="009872F3" w14:paraId="42041A7E" w14:textId="77777777" w:rsidTr="00776C82">
        <w:trPr>
          <w:trHeight w:val="563"/>
        </w:trPr>
        <w:tc>
          <w:tcPr>
            <w:tcW w:w="1932" w:type="dxa"/>
          </w:tcPr>
          <w:p w14:paraId="50404315"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Nettorisiko</w:t>
            </w:r>
          </w:p>
        </w:tc>
        <w:tc>
          <w:tcPr>
            <w:tcW w:w="2145" w:type="dxa"/>
          </w:tcPr>
          <w:p w14:paraId="4C5A6754"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33ACE2B"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7645E1" w:rsidRPr="009872F3" w14:paraId="1B74C84C" w14:textId="77777777" w:rsidTr="00776C82">
        <w:trPr>
          <w:trHeight w:val="698"/>
        </w:trPr>
        <w:tc>
          <w:tcPr>
            <w:tcW w:w="1932" w:type="dxa"/>
          </w:tcPr>
          <w:p w14:paraId="32792991" w14:textId="38A7E619" w:rsidR="007645E1" w:rsidRPr="006749F0" w:rsidRDefault="007645E1" w:rsidP="00776C82">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6D3C78B0" w14:textId="77777777" w:rsidR="007645E1" w:rsidRPr="006749F0" w:rsidRDefault="007645E1" w:rsidP="00776C82">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43EEF00C" w14:textId="77777777" w:rsidR="007645E1" w:rsidRPr="009872F3" w:rsidRDefault="007645E1" w:rsidP="00776C82">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7BDCCB" w14:textId="77777777" w:rsidR="007645E1" w:rsidRDefault="007645E1" w:rsidP="00776C82">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AD228D1" w14:textId="77777777" w:rsidR="007645E1" w:rsidRPr="006749F0" w:rsidRDefault="007645E1" w:rsidP="00776C82">
            <w:pPr>
              <w:jc w:val="both"/>
              <w:rPr>
                <w:rFonts w:ascii="Arial" w:hAnsi="Arial" w:cs="Arial"/>
                <w:i/>
                <w:sz w:val="18"/>
                <w:szCs w:val="18"/>
              </w:rPr>
            </w:pPr>
            <w:r w:rsidRPr="006749F0">
              <w:rPr>
                <w:rFonts w:ascii="Arial" w:hAnsi="Arial" w:cs="Arial"/>
                <w:i/>
                <w:sz w:val="18"/>
                <w:szCs w:val="18"/>
                <w:highlight w:val="yellow"/>
              </w:rPr>
              <w:t>Jahr</w:t>
            </w:r>
          </w:p>
        </w:tc>
      </w:tr>
      <w:tr w:rsidR="007645E1" w:rsidRPr="009872F3" w14:paraId="54E1C105" w14:textId="77777777" w:rsidTr="00776C82">
        <w:trPr>
          <w:trHeight w:val="636"/>
        </w:trPr>
        <w:tc>
          <w:tcPr>
            <w:tcW w:w="9180" w:type="dxa"/>
            <w:gridSpan w:val="4"/>
          </w:tcPr>
          <w:p w14:paraId="6A34D483" w14:textId="77777777" w:rsidR="007645E1" w:rsidRDefault="007645E1" w:rsidP="00776C82">
            <w:pPr>
              <w:jc w:val="both"/>
              <w:rPr>
                <w:rFonts w:ascii="Arial" w:hAnsi="Arial" w:cs="Arial"/>
                <w:sz w:val="18"/>
                <w:szCs w:val="18"/>
              </w:rPr>
            </w:pPr>
          </w:p>
          <w:p w14:paraId="07C99BAE" w14:textId="77777777" w:rsidR="007645E1" w:rsidRPr="00F60909" w:rsidRDefault="007645E1" w:rsidP="00776C82">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5C661FE0" w14:textId="36A1C9F0" w:rsidR="007645E1" w:rsidRPr="009872F3" w:rsidRDefault="007645E1" w:rsidP="00776C82">
            <w:pPr>
              <w:jc w:val="both"/>
              <w:rPr>
                <w:rFonts w:ascii="Arial" w:hAnsi="Arial" w:cs="Arial"/>
                <w:sz w:val="18"/>
                <w:szCs w:val="18"/>
              </w:rPr>
            </w:pPr>
            <w:r w:rsidRPr="00CB3EE6">
              <w:rPr>
                <w:rFonts w:ascii="Arial" w:hAnsi="Arial" w:cs="Arial"/>
                <w:sz w:val="18"/>
                <w:szCs w:val="18"/>
                <w:highlight w:val="yellow"/>
              </w:rPr>
              <w:t xml:space="preserve">Art. </w:t>
            </w:r>
            <w:r w:rsidR="00B868CC">
              <w:rPr>
                <w:rFonts w:ascii="Arial" w:hAnsi="Arial" w:cs="Arial"/>
                <w:sz w:val="18"/>
                <w:szCs w:val="18"/>
                <w:highlight w:val="yellow"/>
              </w:rPr>
              <w:t>71</w:t>
            </w:r>
            <w:r w:rsidRPr="00CB3EE6">
              <w:rPr>
                <w:rFonts w:ascii="Arial" w:hAnsi="Arial" w:cs="Arial"/>
                <w:sz w:val="18"/>
                <w:szCs w:val="18"/>
                <w:highlight w:val="yellow"/>
              </w:rPr>
              <w:t xml:space="preserve"> BankG; Art. </w:t>
            </w:r>
            <w:r w:rsidR="00B868CC">
              <w:rPr>
                <w:rFonts w:ascii="Arial" w:hAnsi="Arial" w:cs="Arial"/>
                <w:sz w:val="18"/>
                <w:szCs w:val="18"/>
                <w:highlight w:val="yellow"/>
              </w:rPr>
              <w:t>77 BankG;</w:t>
            </w:r>
            <w:r w:rsidRPr="00CB3EE6">
              <w:rPr>
                <w:rFonts w:ascii="Arial" w:hAnsi="Arial" w:cs="Arial"/>
                <w:sz w:val="18"/>
                <w:szCs w:val="18"/>
                <w:highlight w:val="yellow"/>
              </w:rPr>
              <w:t xml:space="preserve"> Teil 8 der Verordnung (EU) 575/2013; EBA/GL/2014/14; EBA/GL/2016/11</w:t>
            </w:r>
            <w:r w:rsidR="00D00A1E">
              <w:rPr>
                <w:rFonts w:ascii="Arial" w:hAnsi="Arial" w:cs="Arial"/>
                <w:sz w:val="18"/>
                <w:szCs w:val="18"/>
                <w:highlight w:val="yellow"/>
              </w:rPr>
              <w:t xml:space="preserve">; EBA/GL/2018/10; </w:t>
            </w:r>
            <w:r w:rsidR="00055C5A">
              <w:rPr>
                <w:rFonts w:ascii="Arial" w:hAnsi="Arial" w:cs="Arial"/>
                <w:sz w:val="18"/>
                <w:szCs w:val="18"/>
                <w:highlight w:val="yellow"/>
              </w:rPr>
              <w:t>EBA/GL/2020/07; EBA/GL/2017/01; EBA/GL/2014/</w:t>
            </w:r>
            <w:r w:rsidR="00055C5A" w:rsidRPr="00BF476D">
              <w:rPr>
                <w:rFonts w:ascii="Arial" w:hAnsi="Arial" w:cs="Arial"/>
                <w:sz w:val="18"/>
                <w:szCs w:val="18"/>
                <w:highlight w:val="yellow"/>
              </w:rPr>
              <w:t>03</w:t>
            </w:r>
            <w:r w:rsidR="00BF476D" w:rsidRPr="009E4FE7">
              <w:rPr>
                <w:rFonts w:ascii="Arial" w:hAnsi="Arial" w:cs="Arial"/>
                <w:sz w:val="18"/>
                <w:szCs w:val="18"/>
                <w:highlight w:val="yellow"/>
              </w:rPr>
              <w:t>, DV (EU) Nr. 2024/3172</w:t>
            </w:r>
          </w:p>
        </w:tc>
      </w:tr>
      <w:tr w:rsidR="007645E1" w:rsidRPr="009872F3" w14:paraId="45B7C39D" w14:textId="77777777" w:rsidTr="00776C82">
        <w:trPr>
          <w:trHeight w:val="294"/>
        </w:trPr>
        <w:tc>
          <w:tcPr>
            <w:tcW w:w="9180" w:type="dxa"/>
            <w:gridSpan w:val="4"/>
          </w:tcPr>
          <w:p w14:paraId="73B6C530" w14:textId="77777777" w:rsidR="007645E1" w:rsidRPr="009872F3" w:rsidRDefault="007645E1" w:rsidP="00776C82">
            <w:pPr>
              <w:jc w:val="both"/>
              <w:rPr>
                <w:rFonts w:ascii="Arial" w:hAnsi="Arial" w:cs="Arial"/>
                <w:sz w:val="18"/>
                <w:szCs w:val="18"/>
              </w:rPr>
            </w:pPr>
          </w:p>
        </w:tc>
      </w:tr>
      <w:tr w:rsidR="007645E1" w:rsidRPr="009872F3" w14:paraId="0AE03B71" w14:textId="77777777" w:rsidTr="00776C82">
        <w:tc>
          <w:tcPr>
            <w:tcW w:w="5798" w:type="dxa"/>
            <w:gridSpan w:val="3"/>
          </w:tcPr>
          <w:p w14:paraId="35D83D92" w14:textId="47A7D313" w:rsidR="007645E1" w:rsidRPr="009872F3" w:rsidRDefault="003D2C33" w:rsidP="007D00DF">
            <w:pPr>
              <w:jc w:val="both"/>
              <w:rPr>
                <w:rFonts w:ascii="Arial" w:hAnsi="Arial" w:cs="Arial"/>
                <w:sz w:val="18"/>
                <w:szCs w:val="18"/>
              </w:rPr>
            </w:pPr>
            <w:r>
              <w:rPr>
                <w:rFonts w:ascii="Arial" w:hAnsi="Arial" w:cs="Arial"/>
                <w:sz w:val="18"/>
                <w:szCs w:val="18"/>
              </w:rPr>
              <w:lastRenderedPageBreak/>
              <w:t xml:space="preserve">Bestätigung, dass die internen Verfahren eine </w:t>
            </w:r>
            <w:r w:rsidR="005D2CDC">
              <w:rPr>
                <w:rFonts w:ascii="Arial" w:hAnsi="Arial" w:cs="Arial"/>
                <w:sz w:val="18"/>
                <w:szCs w:val="18"/>
              </w:rPr>
              <w:t xml:space="preserve">umfassende und gesetzeskonforme Offenlegung </w:t>
            </w:r>
            <w:r w:rsidR="007D00DF">
              <w:rPr>
                <w:rFonts w:ascii="Arial" w:hAnsi="Arial" w:cs="Arial"/>
                <w:sz w:val="18"/>
                <w:szCs w:val="18"/>
              </w:rPr>
              <w:t>s</w:t>
            </w:r>
            <w:r w:rsidR="005D2CDC">
              <w:rPr>
                <w:rFonts w:ascii="Arial" w:hAnsi="Arial" w:cs="Arial"/>
                <w:sz w:val="18"/>
                <w:szCs w:val="18"/>
              </w:rPr>
              <w:t>icherstellen</w:t>
            </w:r>
            <w:r>
              <w:rPr>
                <w:rFonts w:ascii="Arial" w:hAnsi="Arial" w:cs="Arial"/>
                <w:sz w:val="18"/>
                <w:szCs w:val="18"/>
              </w:rPr>
              <w:t xml:space="preserve"> </w:t>
            </w:r>
          </w:p>
        </w:tc>
        <w:tc>
          <w:tcPr>
            <w:tcW w:w="3382" w:type="dxa"/>
          </w:tcPr>
          <w:p w14:paraId="43BED438" w14:textId="77777777" w:rsidR="007645E1" w:rsidRPr="00E109DF" w:rsidRDefault="007645E1" w:rsidP="00776C82">
            <w:pPr>
              <w:jc w:val="both"/>
              <w:rPr>
                <w:rFonts w:ascii="Arial" w:hAnsi="Arial" w:cs="Arial"/>
                <w:i/>
                <w:sz w:val="18"/>
                <w:szCs w:val="18"/>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E033AD" w:rsidRPr="009872F3" w14:paraId="582C0C45" w14:textId="77777777" w:rsidTr="00776C82">
        <w:tc>
          <w:tcPr>
            <w:tcW w:w="5798" w:type="dxa"/>
            <w:gridSpan w:val="3"/>
          </w:tcPr>
          <w:p w14:paraId="57552262" w14:textId="77777777" w:rsidR="00E033AD" w:rsidRDefault="00E033AD" w:rsidP="00E033AD">
            <w:pPr>
              <w:jc w:val="both"/>
              <w:rPr>
                <w:rFonts w:ascii="Arial" w:hAnsi="Arial" w:cs="Arial"/>
                <w:sz w:val="18"/>
                <w:szCs w:val="18"/>
              </w:rPr>
            </w:pPr>
            <w:r>
              <w:rPr>
                <w:rFonts w:ascii="Arial" w:hAnsi="Arial" w:cs="Arial"/>
                <w:sz w:val="18"/>
                <w:szCs w:val="18"/>
              </w:rPr>
              <w:t>Bestätigung, dass die internen Verfahren sicherstellen, dass die Ausnahmeregelungen bzw. Ausschlusskriterien zur Ermittlung offenzulegender Information angemessen angewandt werden</w:t>
            </w:r>
          </w:p>
        </w:tc>
        <w:tc>
          <w:tcPr>
            <w:tcW w:w="3382" w:type="dxa"/>
          </w:tcPr>
          <w:p w14:paraId="7814FC9D" w14:textId="77777777" w:rsidR="00E033AD" w:rsidRPr="00E109DF" w:rsidRDefault="00E033AD" w:rsidP="00776C82">
            <w:pPr>
              <w:jc w:val="both"/>
              <w:rPr>
                <w:rFonts w:ascii="Arial" w:hAnsi="Arial" w:cs="Arial"/>
                <w:i/>
                <w:sz w:val="18"/>
                <w:szCs w:val="18"/>
                <w:highlight w:val="yellow"/>
              </w:rPr>
            </w:pPr>
            <w:r w:rsidRPr="00E109DF">
              <w:rPr>
                <w:rFonts w:ascii="Arial" w:hAnsi="Arial" w:cs="Arial"/>
                <w:i/>
                <w:sz w:val="18"/>
                <w:szCs w:val="18"/>
                <w:highlight w:val="yellow"/>
              </w:rPr>
              <w:t>Ja (</w:t>
            </w:r>
            <w:r w:rsidR="0071465F">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2CDF8903" w14:textId="77777777" w:rsidR="007645E1" w:rsidRDefault="007645E1" w:rsidP="007645E1">
      <w:pPr>
        <w:jc w:val="both"/>
      </w:pPr>
    </w:p>
    <w:tbl>
      <w:tblPr>
        <w:tblStyle w:val="Tabellenraster"/>
        <w:tblW w:w="0" w:type="auto"/>
        <w:tblLook w:val="04A0" w:firstRow="1" w:lastRow="0" w:firstColumn="1" w:lastColumn="0" w:noHBand="0" w:noVBand="1"/>
      </w:tblPr>
      <w:tblGrid>
        <w:gridCol w:w="2660"/>
        <w:gridCol w:w="6520"/>
      </w:tblGrid>
      <w:tr w:rsidR="007645E1" w:rsidRPr="00CE3194" w14:paraId="3457F197" w14:textId="77777777" w:rsidTr="00776C82">
        <w:tc>
          <w:tcPr>
            <w:tcW w:w="2660" w:type="dxa"/>
          </w:tcPr>
          <w:p w14:paraId="1697F8AE" w14:textId="77777777" w:rsidR="007645E1" w:rsidRPr="00CE3194" w:rsidRDefault="007645E1" w:rsidP="00776C82">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F2BF4B7" w14:textId="77777777" w:rsidR="007645E1" w:rsidRPr="00CE3194" w:rsidRDefault="007645E1" w:rsidP="00776C82">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7645E1" w:rsidRPr="00CE3194" w14:paraId="674F74D7" w14:textId="77777777" w:rsidTr="00776C82">
        <w:tc>
          <w:tcPr>
            <w:tcW w:w="2660" w:type="dxa"/>
          </w:tcPr>
          <w:p w14:paraId="2CDBF0EB" w14:textId="77777777" w:rsidR="007645E1" w:rsidRDefault="005D2CDC" w:rsidP="004D4B39">
            <w:pPr>
              <w:jc w:val="both"/>
              <w:rPr>
                <w:rFonts w:ascii="Arial" w:hAnsi="Arial" w:cs="Arial"/>
                <w:i/>
                <w:sz w:val="20"/>
                <w:szCs w:val="20"/>
                <w:highlight w:val="lightGray"/>
              </w:rPr>
            </w:pPr>
            <w:r>
              <w:rPr>
                <w:rFonts w:ascii="Arial" w:hAnsi="Arial" w:cs="Arial"/>
                <w:i/>
                <w:sz w:val="20"/>
                <w:szCs w:val="20"/>
                <w:highlight w:val="lightGray"/>
              </w:rPr>
              <w:t>Erstellungs- und Überprüfungsprozess</w:t>
            </w:r>
            <w:r w:rsidR="004D4B39">
              <w:rPr>
                <w:rFonts w:ascii="Arial" w:hAnsi="Arial" w:cs="Arial"/>
                <w:i/>
                <w:sz w:val="20"/>
                <w:szCs w:val="20"/>
                <w:highlight w:val="lightGray"/>
              </w:rPr>
              <w:t xml:space="preserve"> zur umfassenden und gesetzeskonformen Offenlegung</w:t>
            </w:r>
          </w:p>
        </w:tc>
        <w:tc>
          <w:tcPr>
            <w:tcW w:w="6520" w:type="dxa"/>
          </w:tcPr>
          <w:p w14:paraId="0CB630A8" w14:textId="77777777" w:rsidR="00E033AD" w:rsidRDefault="00E033AD" w:rsidP="00E033AD">
            <w:pPr>
              <w:pStyle w:val="Listenabsatz"/>
              <w:numPr>
                <w:ilvl w:val="1"/>
                <w:numId w:val="17"/>
              </w:numPr>
              <w:ind w:left="317" w:hanging="283"/>
              <w:jc w:val="both"/>
              <w:rPr>
                <w:rFonts w:cs="Arial"/>
                <w:i/>
                <w:szCs w:val="20"/>
                <w:highlight w:val="lightGray"/>
              </w:rPr>
            </w:pPr>
            <w:r>
              <w:rPr>
                <w:rFonts w:cs="Arial"/>
                <w:i/>
                <w:szCs w:val="20"/>
                <w:highlight w:val="lightGray"/>
              </w:rPr>
              <w:t>Es bestehen klare Verantwortlichkeiten und Kompetenzen</w:t>
            </w:r>
          </w:p>
          <w:p w14:paraId="447542DF" w14:textId="0C5957CC" w:rsidR="0071565C" w:rsidRDefault="0071565C" w:rsidP="0071565C">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381E36">
              <w:rPr>
                <w:rFonts w:cs="Arial"/>
                <w:i/>
                <w:szCs w:val="20"/>
                <w:highlight w:val="lightGray"/>
              </w:rPr>
              <w:t xml:space="preserve">Bank bzw. </w:t>
            </w:r>
            <w:r w:rsidR="00381E36" w:rsidRPr="00CE3194">
              <w:rPr>
                <w:rFonts w:cs="Arial"/>
                <w:i/>
                <w:szCs w:val="20"/>
                <w:highlight w:val="lightGray"/>
              </w:rPr>
              <w:t>d</w:t>
            </w:r>
            <w:r w:rsidR="00381E36">
              <w:rPr>
                <w:rFonts w:cs="Arial"/>
                <w:i/>
                <w:szCs w:val="20"/>
                <w:highlight w:val="lightGray"/>
              </w:rPr>
              <w:t>ie</w:t>
            </w:r>
            <w:r w:rsidR="00381E36" w:rsidRPr="00CE3194">
              <w:rPr>
                <w:rFonts w:cs="Arial"/>
                <w:i/>
                <w:szCs w:val="20"/>
                <w:highlight w:val="lightGray"/>
              </w:rPr>
              <w:t xml:space="preserve"> Gruppe</w:t>
            </w:r>
            <w:r w:rsidR="00381E36" w:rsidDel="00381E36">
              <w:rPr>
                <w:rFonts w:cs="Arial"/>
                <w:i/>
                <w:szCs w:val="20"/>
                <w:highlight w:val="lightGray"/>
              </w:rPr>
              <w:t xml:space="preserve"> </w:t>
            </w:r>
            <w:r>
              <w:rPr>
                <w:rFonts w:cs="Arial"/>
                <w:i/>
                <w:szCs w:val="20"/>
                <w:highlight w:val="lightGray"/>
              </w:rPr>
              <w:t xml:space="preserve">verfügt über Verfahren, anhand welcher sie die Angemessenheit ihrer Angaben inkl. die Überprüfung der Angaben und die Häufigkeit der Veröffentlichung effektiv beurteilen kann. </w:t>
            </w:r>
          </w:p>
          <w:p w14:paraId="6193346F" w14:textId="76D887E5" w:rsidR="005D2CDC" w:rsidRPr="004D4B39" w:rsidRDefault="004D4B39" w:rsidP="004D4B3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381E36">
              <w:rPr>
                <w:rFonts w:cs="Arial"/>
                <w:i/>
                <w:szCs w:val="20"/>
                <w:highlight w:val="lightGray"/>
              </w:rPr>
              <w:t xml:space="preserve">Bank bzw. </w:t>
            </w:r>
            <w:r w:rsidR="00381E36" w:rsidRPr="00CE3194">
              <w:rPr>
                <w:rFonts w:cs="Arial"/>
                <w:i/>
                <w:szCs w:val="20"/>
                <w:highlight w:val="lightGray"/>
              </w:rPr>
              <w:t>d</w:t>
            </w:r>
            <w:r w:rsidR="00B710A5">
              <w:rPr>
                <w:rFonts w:cs="Arial"/>
                <w:i/>
                <w:szCs w:val="20"/>
                <w:highlight w:val="lightGray"/>
              </w:rPr>
              <w:t>ie</w:t>
            </w:r>
            <w:r w:rsidR="00381E36" w:rsidRPr="00CE3194">
              <w:rPr>
                <w:rFonts w:cs="Arial"/>
                <w:i/>
                <w:szCs w:val="20"/>
                <w:highlight w:val="lightGray"/>
              </w:rPr>
              <w:t xml:space="preserve"> Gruppe</w:t>
            </w:r>
            <w:r w:rsidR="00381E36" w:rsidDel="00381E36">
              <w:rPr>
                <w:rFonts w:cs="Arial"/>
                <w:i/>
                <w:szCs w:val="20"/>
                <w:highlight w:val="lightGray"/>
              </w:rPr>
              <w:t xml:space="preserve"> </w:t>
            </w:r>
            <w:r>
              <w:rPr>
                <w:rFonts w:cs="Arial"/>
                <w:i/>
                <w:szCs w:val="20"/>
                <w:highlight w:val="lightGray"/>
              </w:rPr>
              <w:t xml:space="preserve">verfügt über Verfahren anhand welcher sie beurteilen kann, ob die offengelegten Informationen den Marktteilnehmern ein umfassendes Bild über das Risikoprofil der </w:t>
            </w:r>
            <w:r w:rsidR="00B710A5">
              <w:rPr>
                <w:rFonts w:cs="Arial"/>
                <w:i/>
                <w:szCs w:val="20"/>
                <w:highlight w:val="lightGray"/>
              </w:rPr>
              <w:t xml:space="preserve">Bank bzw. </w:t>
            </w:r>
            <w:r w:rsidR="00B710A5" w:rsidRPr="00CE3194">
              <w:rPr>
                <w:rFonts w:cs="Arial"/>
                <w:i/>
                <w:szCs w:val="20"/>
                <w:highlight w:val="lightGray"/>
              </w:rPr>
              <w:t>der Gruppe</w:t>
            </w:r>
            <w:r w:rsidR="00B710A5" w:rsidDel="00B710A5">
              <w:rPr>
                <w:rFonts w:cs="Arial"/>
                <w:i/>
                <w:szCs w:val="20"/>
                <w:highlight w:val="lightGray"/>
              </w:rPr>
              <w:t xml:space="preserve"> </w:t>
            </w:r>
            <w:r>
              <w:rPr>
                <w:rFonts w:cs="Arial"/>
                <w:i/>
                <w:szCs w:val="20"/>
                <w:highlight w:val="lightGray"/>
              </w:rPr>
              <w:t>vermitteln</w:t>
            </w:r>
          </w:p>
        </w:tc>
      </w:tr>
      <w:tr w:rsidR="007645E1" w:rsidRPr="00CE3194" w14:paraId="177DC8B5" w14:textId="77777777" w:rsidTr="00776C82">
        <w:tc>
          <w:tcPr>
            <w:tcW w:w="2660" w:type="dxa"/>
          </w:tcPr>
          <w:p w14:paraId="6E42593C" w14:textId="77777777" w:rsidR="007645E1" w:rsidRDefault="0071565C" w:rsidP="00776C82">
            <w:pPr>
              <w:jc w:val="both"/>
              <w:rPr>
                <w:rFonts w:ascii="Arial" w:hAnsi="Arial" w:cs="Arial"/>
                <w:i/>
                <w:sz w:val="20"/>
                <w:szCs w:val="20"/>
                <w:highlight w:val="lightGray"/>
              </w:rPr>
            </w:pPr>
            <w:r>
              <w:rPr>
                <w:rFonts w:ascii="Arial" w:hAnsi="Arial" w:cs="Arial"/>
                <w:i/>
                <w:sz w:val="20"/>
                <w:szCs w:val="20"/>
                <w:highlight w:val="lightGray"/>
              </w:rPr>
              <w:t>Ausnahmeregelungen bzw. Ausschlusskriterien</w:t>
            </w:r>
          </w:p>
        </w:tc>
        <w:tc>
          <w:tcPr>
            <w:tcW w:w="6520" w:type="dxa"/>
          </w:tcPr>
          <w:p w14:paraId="026639AD" w14:textId="77777777" w:rsidR="0071565C" w:rsidRDefault="0071565C" w:rsidP="0071565C">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Ausnahmen bzw. Ausschlusskriterien zur Ermittlung offenzulegender Informationen werden angemessen angewandt. </w:t>
            </w:r>
          </w:p>
          <w:p w14:paraId="26BF6476" w14:textId="6BE24709" w:rsidR="007645E1" w:rsidRPr="004D4B39" w:rsidRDefault="0071565C" w:rsidP="004D4B39">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00B710A5">
              <w:rPr>
                <w:rFonts w:cs="Arial"/>
                <w:i/>
                <w:szCs w:val="20"/>
                <w:highlight w:val="lightGray"/>
              </w:rPr>
              <w:t xml:space="preserve">Bank bzw. </w:t>
            </w:r>
            <w:r w:rsidR="00B710A5" w:rsidRPr="00CE3194">
              <w:rPr>
                <w:rFonts w:cs="Arial"/>
                <w:i/>
                <w:szCs w:val="20"/>
                <w:highlight w:val="lightGray"/>
              </w:rPr>
              <w:t>d</w:t>
            </w:r>
            <w:r w:rsidR="00B710A5">
              <w:rPr>
                <w:rFonts w:cs="Arial"/>
                <w:i/>
                <w:szCs w:val="20"/>
                <w:highlight w:val="lightGray"/>
              </w:rPr>
              <w:t>ie</w:t>
            </w:r>
            <w:r w:rsidR="00B710A5" w:rsidRPr="00CE3194">
              <w:rPr>
                <w:rFonts w:cs="Arial"/>
                <w:i/>
                <w:szCs w:val="20"/>
                <w:highlight w:val="lightGray"/>
              </w:rPr>
              <w:t xml:space="preserve"> Gruppe</w:t>
            </w:r>
            <w:r w:rsidR="00B710A5" w:rsidDel="00B710A5">
              <w:rPr>
                <w:rFonts w:cs="Arial"/>
                <w:i/>
                <w:szCs w:val="20"/>
                <w:highlight w:val="lightGray"/>
              </w:rPr>
              <w:t xml:space="preserve"> </w:t>
            </w:r>
            <w:r>
              <w:rPr>
                <w:rFonts w:cs="Arial"/>
                <w:i/>
                <w:szCs w:val="20"/>
                <w:highlight w:val="lightGray"/>
              </w:rPr>
              <w:t xml:space="preserve">verfügt über interne Verfahren um die Wesentlichkeit von offenzulegenden Informationen zu beurteilen. </w:t>
            </w:r>
          </w:p>
        </w:tc>
      </w:tr>
    </w:tbl>
    <w:p w14:paraId="4F8976F5" w14:textId="77777777" w:rsidR="007645E1" w:rsidRDefault="007645E1" w:rsidP="00CB3EE6">
      <w:pPr>
        <w:jc w:val="both"/>
      </w:pPr>
    </w:p>
    <w:p w14:paraId="67A57F7A" w14:textId="77777777" w:rsidR="00AF6815" w:rsidRDefault="00E94778" w:rsidP="00E94778">
      <w:pPr>
        <w:jc w:val="both"/>
        <w:rPr>
          <w:rFonts w:ascii="Arial" w:hAnsi="Arial"/>
          <w:sz w:val="20"/>
        </w:rPr>
      </w:pPr>
      <w:r w:rsidRPr="00276C60">
        <w:rPr>
          <w:rFonts w:ascii="Arial" w:hAnsi="Arial" w:cs="Arial"/>
          <w:i/>
          <w:sz w:val="20"/>
          <w:szCs w:val="20"/>
          <w:highlight w:val="yellow"/>
        </w:rPr>
        <w:t>Text</w:t>
      </w:r>
    </w:p>
    <w:p w14:paraId="5318496E" w14:textId="77777777" w:rsidR="00AF6815" w:rsidRPr="00276C60" w:rsidRDefault="00AF6815" w:rsidP="00E94778">
      <w:pPr>
        <w:jc w:val="both"/>
        <w:rPr>
          <w:rFonts w:ascii="Arial" w:hAnsi="Arial" w:cs="Arial"/>
          <w:i/>
          <w:sz w:val="20"/>
          <w:szCs w:val="20"/>
        </w:rPr>
      </w:pPr>
    </w:p>
    <w:p w14:paraId="406CD615" w14:textId="2B05DFCE" w:rsidR="006E6503" w:rsidRDefault="006E6503" w:rsidP="006E6503">
      <w:pPr>
        <w:pStyle w:val="FINMAGliederungEbene3"/>
      </w:pPr>
      <w:bookmarkStart w:id="71" w:name="_Toc216425816"/>
      <w:r>
        <w:t>Digitale operationale Resilienz (GOV-12)</w:t>
      </w:r>
      <w:bookmarkEnd w:id="71"/>
    </w:p>
    <w:p w14:paraId="71DE78EA" w14:textId="77777777" w:rsidR="00F16B37" w:rsidRDefault="00F16B37" w:rsidP="00F16B37">
      <w:pPr>
        <w:jc w:val="both"/>
      </w:pPr>
    </w:p>
    <w:tbl>
      <w:tblPr>
        <w:tblStyle w:val="Tabellenraster"/>
        <w:tblW w:w="0" w:type="auto"/>
        <w:tblLook w:val="04A0" w:firstRow="1" w:lastRow="0" w:firstColumn="1" w:lastColumn="0" w:noHBand="0" w:noVBand="1"/>
      </w:tblPr>
      <w:tblGrid>
        <w:gridCol w:w="1932"/>
        <w:gridCol w:w="2145"/>
        <w:gridCol w:w="1721"/>
        <w:gridCol w:w="3382"/>
      </w:tblGrid>
      <w:tr w:rsidR="00F16B37" w:rsidRPr="009872F3" w14:paraId="2CD50696" w14:textId="77777777" w:rsidTr="00215195">
        <w:trPr>
          <w:trHeight w:val="563"/>
        </w:trPr>
        <w:tc>
          <w:tcPr>
            <w:tcW w:w="1932" w:type="dxa"/>
          </w:tcPr>
          <w:p w14:paraId="7ED192BA" w14:textId="77777777" w:rsidR="00F16B37" w:rsidRPr="009872F3" w:rsidRDefault="00F16B37" w:rsidP="00215195">
            <w:pPr>
              <w:jc w:val="both"/>
              <w:rPr>
                <w:rFonts w:ascii="Arial" w:hAnsi="Arial" w:cs="Arial"/>
                <w:sz w:val="18"/>
                <w:szCs w:val="18"/>
              </w:rPr>
            </w:pPr>
            <w:r w:rsidRPr="009872F3">
              <w:rPr>
                <w:rFonts w:ascii="Arial" w:hAnsi="Arial" w:cs="Arial"/>
                <w:sz w:val="18"/>
                <w:szCs w:val="18"/>
              </w:rPr>
              <w:t>Nettorisiko</w:t>
            </w:r>
          </w:p>
        </w:tc>
        <w:tc>
          <w:tcPr>
            <w:tcW w:w="2145" w:type="dxa"/>
          </w:tcPr>
          <w:p w14:paraId="48F6F529" w14:textId="77777777" w:rsidR="00F16B37" w:rsidRPr="009872F3" w:rsidRDefault="00F16B37" w:rsidP="0021519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5280F05" w14:textId="77777777" w:rsidR="00F16B37" w:rsidRPr="009872F3" w:rsidRDefault="00F16B37" w:rsidP="0021519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F16B37" w:rsidRPr="009872F3" w14:paraId="28A6B7E3" w14:textId="77777777" w:rsidTr="00215195">
        <w:trPr>
          <w:trHeight w:val="698"/>
        </w:trPr>
        <w:tc>
          <w:tcPr>
            <w:tcW w:w="1932" w:type="dxa"/>
          </w:tcPr>
          <w:p w14:paraId="036A852F" w14:textId="77777777" w:rsidR="00F16B37" w:rsidRPr="006749F0" w:rsidRDefault="00F16B37" w:rsidP="0021519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88403A3" w14:textId="77777777" w:rsidR="00F16B37" w:rsidRPr="006749F0" w:rsidRDefault="00F16B37" w:rsidP="0021519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6B8C5A74" w14:textId="77777777" w:rsidR="00F16B37" w:rsidRPr="009872F3" w:rsidRDefault="00F16B37" w:rsidP="0021519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27716F8" w14:textId="77777777" w:rsidR="00F16B37" w:rsidRDefault="00F16B37" w:rsidP="0021519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2DB8E144" w14:textId="77777777" w:rsidR="00F16B37" w:rsidRPr="006749F0" w:rsidRDefault="00F16B37" w:rsidP="00215195">
            <w:pPr>
              <w:jc w:val="both"/>
              <w:rPr>
                <w:rFonts w:ascii="Arial" w:hAnsi="Arial" w:cs="Arial"/>
                <w:i/>
                <w:sz w:val="18"/>
                <w:szCs w:val="18"/>
              </w:rPr>
            </w:pPr>
            <w:r w:rsidRPr="006749F0">
              <w:rPr>
                <w:rFonts w:ascii="Arial" w:hAnsi="Arial" w:cs="Arial"/>
                <w:i/>
                <w:sz w:val="18"/>
                <w:szCs w:val="18"/>
                <w:highlight w:val="yellow"/>
              </w:rPr>
              <w:t>Jahr</w:t>
            </w:r>
          </w:p>
        </w:tc>
      </w:tr>
      <w:tr w:rsidR="00F16B37" w:rsidRPr="009872F3" w14:paraId="34DA7E75" w14:textId="77777777" w:rsidTr="00215195">
        <w:trPr>
          <w:trHeight w:val="636"/>
        </w:trPr>
        <w:tc>
          <w:tcPr>
            <w:tcW w:w="9180" w:type="dxa"/>
            <w:gridSpan w:val="4"/>
          </w:tcPr>
          <w:p w14:paraId="1EE94334" w14:textId="77777777" w:rsidR="00F16B37" w:rsidRDefault="00F16B37" w:rsidP="00215195">
            <w:pPr>
              <w:jc w:val="both"/>
              <w:rPr>
                <w:rFonts w:ascii="Arial" w:hAnsi="Arial" w:cs="Arial"/>
                <w:sz w:val="18"/>
                <w:szCs w:val="18"/>
              </w:rPr>
            </w:pPr>
          </w:p>
          <w:p w14:paraId="75C3DD28" w14:textId="24FC308F" w:rsidR="00F16B37" w:rsidRPr="001C0830" w:rsidRDefault="00F16B37" w:rsidP="00215195">
            <w:pPr>
              <w:jc w:val="both"/>
              <w:rPr>
                <w:rFonts w:ascii="Arial" w:hAnsi="Arial" w:cs="Arial"/>
                <w:sz w:val="18"/>
                <w:szCs w:val="18"/>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r w:rsidRPr="001C0830">
              <w:rPr>
                <w:rFonts w:ascii="Arial" w:hAnsi="Arial" w:cs="Arial"/>
                <w:sz w:val="18"/>
                <w:szCs w:val="18"/>
                <w:highlight w:val="yellow"/>
              </w:rPr>
              <w:t>Verordnung (EU) 2022/2554, DelVO 2024/1774, DelVO 2024/1772, DelVO 2025/301, D</w:t>
            </w:r>
            <w:r w:rsidR="00FD1315">
              <w:rPr>
                <w:rFonts w:ascii="Arial" w:hAnsi="Arial" w:cs="Arial"/>
                <w:sz w:val="18"/>
                <w:szCs w:val="18"/>
                <w:highlight w:val="yellow"/>
              </w:rPr>
              <w:t>VO</w:t>
            </w:r>
            <w:r w:rsidRPr="001C0830">
              <w:rPr>
                <w:rFonts w:ascii="Arial" w:hAnsi="Arial" w:cs="Arial"/>
                <w:sz w:val="18"/>
                <w:szCs w:val="18"/>
                <w:highlight w:val="yellow"/>
              </w:rPr>
              <w:t xml:space="preserve"> 2025/302, DelVO 2024/1773, DVO 2024/2956, DelVO 2025/532</w:t>
            </w:r>
          </w:p>
          <w:p w14:paraId="76083B5E" w14:textId="77777777" w:rsidR="00F16B37" w:rsidRPr="009872F3" w:rsidRDefault="00F16B37" w:rsidP="00215195">
            <w:pPr>
              <w:jc w:val="both"/>
              <w:rPr>
                <w:rFonts w:ascii="Arial" w:hAnsi="Arial" w:cs="Arial"/>
                <w:sz w:val="18"/>
                <w:szCs w:val="18"/>
              </w:rPr>
            </w:pPr>
          </w:p>
        </w:tc>
      </w:tr>
      <w:tr w:rsidR="00F16B37" w:rsidRPr="009872F3" w14:paraId="48B58478" w14:textId="77777777" w:rsidTr="00215195">
        <w:trPr>
          <w:trHeight w:val="294"/>
        </w:trPr>
        <w:tc>
          <w:tcPr>
            <w:tcW w:w="9180" w:type="dxa"/>
            <w:gridSpan w:val="4"/>
          </w:tcPr>
          <w:p w14:paraId="3D322B57" w14:textId="77777777" w:rsidR="00F16B37" w:rsidRPr="009872F3" w:rsidRDefault="00F16B37" w:rsidP="00215195">
            <w:pPr>
              <w:jc w:val="both"/>
              <w:rPr>
                <w:rFonts w:ascii="Arial" w:hAnsi="Arial" w:cs="Arial"/>
                <w:sz w:val="18"/>
                <w:szCs w:val="18"/>
              </w:rPr>
            </w:pPr>
          </w:p>
        </w:tc>
      </w:tr>
      <w:tr w:rsidR="00F16B37" w:rsidRPr="009872F3" w14:paraId="44A44D4D" w14:textId="77777777" w:rsidTr="00215195">
        <w:tc>
          <w:tcPr>
            <w:tcW w:w="5798" w:type="dxa"/>
            <w:gridSpan w:val="3"/>
          </w:tcPr>
          <w:p w14:paraId="76A7BD97" w14:textId="77777777" w:rsidR="00F16B37" w:rsidRPr="009872F3" w:rsidRDefault="00F16B37"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untenstehenden Tabelle aufzuführen]</w:t>
            </w:r>
          </w:p>
        </w:tc>
        <w:tc>
          <w:tcPr>
            <w:tcW w:w="3382" w:type="dxa"/>
          </w:tcPr>
          <w:p w14:paraId="1C214D6F" w14:textId="77777777" w:rsidR="00F16B37" w:rsidRPr="00E109DF" w:rsidRDefault="00F16B37" w:rsidP="00215195">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F16B37" w:rsidRPr="009872F3" w14:paraId="57F3A99F" w14:textId="77777777" w:rsidTr="00215195">
        <w:tc>
          <w:tcPr>
            <w:tcW w:w="5798" w:type="dxa"/>
            <w:gridSpan w:val="3"/>
          </w:tcPr>
          <w:p w14:paraId="6E3662BB" w14:textId="77777777" w:rsidR="00F16B37" w:rsidRDefault="00F16B37" w:rsidP="00215195">
            <w:pPr>
              <w:jc w:val="both"/>
              <w:rPr>
                <w:rFonts w:ascii="Arial" w:hAnsi="Arial" w:cs="Arial"/>
                <w:sz w:val="18"/>
                <w:szCs w:val="18"/>
              </w:rPr>
            </w:pPr>
            <w:r w:rsidRPr="0052759D">
              <w:rPr>
                <w:rFonts w:ascii="Arial" w:hAnsi="Arial" w:cs="Arial"/>
                <w:i/>
                <w:sz w:val="18"/>
                <w:szCs w:val="18"/>
                <w:highlight w:val="yellow"/>
              </w:rPr>
              <w:t>[Prüfbestätigung je nach abzudeckendem Prüfelement aus der untenstehenden Tabelle aufzuführen]</w:t>
            </w:r>
          </w:p>
        </w:tc>
        <w:tc>
          <w:tcPr>
            <w:tcW w:w="3382" w:type="dxa"/>
          </w:tcPr>
          <w:p w14:paraId="37767F05" w14:textId="77777777" w:rsidR="00F16B37" w:rsidRPr="00E109DF" w:rsidRDefault="00F16B37" w:rsidP="00215195">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39BF2B8D" w14:textId="77777777" w:rsidR="00F16B37" w:rsidRDefault="00F16B37" w:rsidP="00F16B37">
      <w:pPr>
        <w:jc w:val="both"/>
      </w:pPr>
    </w:p>
    <w:p w14:paraId="75F6A48C" w14:textId="77777777" w:rsidR="00F16B37" w:rsidRDefault="00F16B37" w:rsidP="00F16B37">
      <w:pPr>
        <w:rPr>
          <w:rFonts w:ascii="Arial" w:hAnsi="Arial" w:cs="Arial"/>
          <w:i/>
          <w:iCs/>
          <w:sz w:val="20"/>
          <w:szCs w:val="20"/>
        </w:rPr>
      </w:pPr>
      <w:r w:rsidRPr="000D392E">
        <w:rPr>
          <w:rFonts w:ascii="Arial" w:hAnsi="Arial" w:cs="Arial"/>
          <w:i/>
          <w:iCs/>
          <w:sz w:val="20"/>
          <w:szCs w:val="20"/>
        </w:rPr>
        <w:t>Die mit * gekennzeichneten Mindestprüfinhalte oder Bestätigungen weisen Erleichterungen für Kleinstunternehmen nach DORA aus, die bei einer Klassifizierung als Kleinstunternehmen zu berücksichtigen sind. Dabei ist zu beachten, dass diese Prüfelemente für Kleinstunternehmen nicht gänzlich entfallen, jedoch die Erleichterungen gemäss den DORA Vorgaben zu berücksichtigen sind.</w:t>
      </w:r>
    </w:p>
    <w:p w14:paraId="12139762" w14:textId="77777777" w:rsidR="00F16B37" w:rsidRDefault="00F16B37" w:rsidP="00F16B37">
      <w:pPr>
        <w:jc w:val="both"/>
      </w:pPr>
    </w:p>
    <w:tbl>
      <w:tblPr>
        <w:tblStyle w:val="Tabellenraster"/>
        <w:tblW w:w="9740" w:type="dxa"/>
        <w:tblLayout w:type="fixed"/>
        <w:tblLook w:val="04A0" w:firstRow="1" w:lastRow="0" w:firstColumn="1" w:lastColumn="0" w:noHBand="0" w:noVBand="1"/>
      </w:tblPr>
      <w:tblGrid>
        <w:gridCol w:w="1599"/>
        <w:gridCol w:w="4066"/>
        <w:gridCol w:w="4075"/>
      </w:tblGrid>
      <w:tr w:rsidR="00F16B37" w:rsidRPr="0052759D" w14:paraId="11318D21" w14:textId="77777777" w:rsidTr="00215195">
        <w:trPr>
          <w:trHeight w:val="76"/>
        </w:trPr>
        <w:tc>
          <w:tcPr>
            <w:tcW w:w="1599" w:type="dxa"/>
          </w:tcPr>
          <w:p w14:paraId="14A33C48" w14:textId="77777777" w:rsidR="00F16B37" w:rsidRPr="0052759D" w:rsidRDefault="00F16B37" w:rsidP="00215195">
            <w:pPr>
              <w:jc w:val="both"/>
              <w:rPr>
                <w:rFonts w:ascii="Arial" w:hAnsi="Arial" w:cs="Arial"/>
                <w:b/>
                <w:i/>
                <w:sz w:val="20"/>
                <w:szCs w:val="20"/>
                <w:highlight w:val="lightGray"/>
              </w:rPr>
            </w:pPr>
            <w:r w:rsidRPr="0052759D">
              <w:rPr>
                <w:rFonts w:ascii="Arial" w:hAnsi="Arial" w:cs="Arial"/>
                <w:b/>
                <w:i/>
                <w:sz w:val="20"/>
                <w:szCs w:val="20"/>
                <w:highlight w:val="lightGray"/>
              </w:rPr>
              <w:t>Prüfelemente</w:t>
            </w:r>
          </w:p>
        </w:tc>
        <w:tc>
          <w:tcPr>
            <w:tcW w:w="4066" w:type="dxa"/>
          </w:tcPr>
          <w:p w14:paraId="554C5A0A" w14:textId="77777777" w:rsidR="00F16B37" w:rsidRPr="0052759D" w:rsidRDefault="00F16B37" w:rsidP="00215195">
            <w:pPr>
              <w:jc w:val="both"/>
              <w:rPr>
                <w:rFonts w:ascii="Arial" w:hAnsi="Arial" w:cs="Arial"/>
                <w:b/>
                <w:i/>
                <w:sz w:val="20"/>
                <w:szCs w:val="20"/>
                <w:highlight w:val="lightGray"/>
              </w:rPr>
            </w:pPr>
            <w:r w:rsidRPr="0052759D">
              <w:rPr>
                <w:rFonts w:ascii="Arial" w:hAnsi="Arial" w:cs="Arial"/>
                <w:b/>
                <w:i/>
                <w:sz w:val="20"/>
                <w:szCs w:val="20"/>
                <w:highlight w:val="lightGray"/>
              </w:rPr>
              <w:t>Mindestprüfinhalte</w:t>
            </w:r>
          </w:p>
        </w:tc>
        <w:tc>
          <w:tcPr>
            <w:tcW w:w="4075" w:type="dxa"/>
          </w:tcPr>
          <w:p w14:paraId="6D272133" w14:textId="77777777" w:rsidR="00F16B37" w:rsidRPr="0052759D" w:rsidRDefault="00F16B37" w:rsidP="00215195">
            <w:pPr>
              <w:jc w:val="both"/>
              <w:rPr>
                <w:rFonts w:ascii="Arial" w:hAnsi="Arial" w:cs="Arial"/>
                <w:b/>
                <w:i/>
                <w:sz w:val="20"/>
                <w:szCs w:val="20"/>
                <w:highlight w:val="lightGray"/>
              </w:rPr>
            </w:pPr>
            <w:r w:rsidRPr="0052759D">
              <w:rPr>
                <w:rFonts w:ascii="Arial" w:hAnsi="Arial" w:cs="Arial"/>
                <w:b/>
                <w:i/>
                <w:sz w:val="20"/>
                <w:szCs w:val="20"/>
                <w:highlight w:val="lightGray"/>
              </w:rPr>
              <w:t>Bestätigungen</w:t>
            </w:r>
          </w:p>
        </w:tc>
      </w:tr>
      <w:tr w:rsidR="00F16B37" w:rsidRPr="0052759D" w14:paraId="51EF68B3" w14:textId="77777777" w:rsidTr="00215195">
        <w:trPr>
          <w:trHeight w:val="76"/>
        </w:trPr>
        <w:tc>
          <w:tcPr>
            <w:tcW w:w="1599" w:type="dxa"/>
          </w:tcPr>
          <w:p w14:paraId="34FFD82C" w14:textId="77777777" w:rsidR="00F16B37" w:rsidRPr="009E4FE7" w:rsidRDefault="00F16B37" w:rsidP="00215195">
            <w:pPr>
              <w:rPr>
                <w:rFonts w:ascii="Arial" w:hAnsi="Arial" w:cs="Arial"/>
                <w:i/>
                <w:iCs/>
                <w:sz w:val="20"/>
                <w:szCs w:val="20"/>
                <w:highlight w:val="lightGray"/>
              </w:rPr>
            </w:pPr>
            <w:r w:rsidRPr="009E4FE7">
              <w:rPr>
                <w:rFonts w:ascii="Arial" w:hAnsi="Arial" w:cs="Arial"/>
                <w:i/>
                <w:iCs/>
                <w:sz w:val="20"/>
                <w:szCs w:val="20"/>
                <w:highlight w:val="lightGray"/>
              </w:rPr>
              <w:t>Governance &amp; Organisation</w:t>
            </w:r>
          </w:p>
        </w:tc>
        <w:tc>
          <w:tcPr>
            <w:tcW w:w="4066" w:type="dxa"/>
          </w:tcPr>
          <w:p w14:paraId="5614D7C4"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Es besteht ein angemessener interner Governance- und Kontrollrahmen, welcher ein effektives Management von IKT-Risiken mit dem Ziel, ein hohes Mass an digitaler operativer Resilienz zu erreichen, gewährleistet und die </w:t>
            </w:r>
            <w:r w:rsidRPr="009E4FE7">
              <w:rPr>
                <w:rFonts w:cs="Arial"/>
                <w:i/>
                <w:szCs w:val="20"/>
                <w:highlight w:val="lightGray"/>
              </w:rPr>
              <w:lastRenderedPageBreak/>
              <w:t>Verantwortlichkeiten des Leitungsorgans angemessen berücksichtigt.</w:t>
            </w:r>
          </w:p>
          <w:p w14:paraId="78A6547D"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Es werden angemessene Budgetmittel zugewiesen und regelmässig überprüft, um den Anforderungen des Finanzunternehmen in Bezug auf die digitale operationale Resilienz gerecht zu werden (Programme zur Sensibilisierung für IKT-Sicherheit, Schulungen und IKT-Kompetenzen für MA).</w:t>
            </w:r>
          </w:p>
          <w:p w14:paraId="20043AE5"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Geschäftsleitung des Finanzunternehmens hält ausreichende Kenntnisse und Fähigkeiten aktiv auf dem neuesten Stand — unter anderem indem sie regelmässig spezielle Schulungen absolvieren — entsprechend den zu steuernden IKT-Risiken, um die IKT-Risiken und deren Auswirkungen auf die Geschäftstätigkeit des Finanzunternehmens verstehen und bewerten können.</w:t>
            </w:r>
          </w:p>
        </w:tc>
        <w:tc>
          <w:tcPr>
            <w:tcW w:w="4075" w:type="dxa"/>
          </w:tcPr>
          <w:p w14:paraId="5D5423DA"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lastRenderedPageBreak/>
              <w:t xml:space="preserve">Bestätigung, dass ein angemessener interner Governance- und Kontrollrahmen besteht, welcher ein effektives Management von IKT-Risiken mit dem Ziel, ein hohes Mass an digitaler operativer Resilienz zu erreichen, gewährleistet und die </w:t>
            </w:r>
            <w:r w:rsidRPr="009E4FE7">
              <w:rPr>
                <w:rFonts w:cs="Arial"/>
                <w:i/>
                <w:szCs w:val="20"/>
                <w:highlight w:val="lightGray"/>
              </w:rPr>
              <w:lastRenderedPageBreak/>
              <w:t>Verantwortlichkeiten des Leitungsorgans angemessen berücksichtigt.</w:t>
            </w:r>
          </w:p>
          <w:p w14:paraId="7FF05907"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die Anforderungen in Bezug auf die digitale operationale Resilienz im Rahmen des Budgetierungsprozesses angemessen berücksichtigt werden. </w:t>
            </w:r>
          </w:p>
          <w:p w14:paraId="429464E4"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die Mitglieder der Geschäftsleitung ihre Kenntnisse und Fähigkeiten in Bezug auf IKT-Risiken durch Schulungen oder anderen Massnahmen auf dem neuesten Stand halten.  </w:t>
            </w:r>
          </w:p>
        </w:tc>
      </w:tr>
      <w:tr w:rsidR="00F16B37" w:rsidRPr="0052759D" w14:paraId="4913560A" w14:textId="77777777" w:rsidTr="00215195">
        <w:trPr>
          <w:trHeight w:val="76"/>
        </w:trPr>
        <w:tc>
          <w:tcPr>
            <w:tcW w:w="1599" w:type="dxa"/>
          </w:tcPr>
          <w:p w14:paraId="68908E1D" w14:textId="77777777" w:rsidR="00F16B37" w:rsidRPr="009E4FE7" w:rsidRDefault="00F16B37" w:rsidP="00215195">
            <w:pPr>
              <w:rPr>
                <w:rFonts w:ascii="Arial" w:hAnsi="Arial" w:cs="Arial"/>
                <w:i/>
                <w:iCs/>
                <w:sz w:val="20"/>
                <w:szCs w:val="20"/>
                <w:highlight w:val="lightGray"/>
              </w:rPr>
            </w:pPr>
            <w:r w:rsidRPr="009E4FE7">
              <w:rPr>
                <w:rFonts w:ascii="Arial" w:hAnsi="Arial" w:cs="Arial"/>
                <w:i/>
                <w:iCs/>
                <w:sz w:val="20"/>
                <w:szCs w:val="20"/>
                <w:highlight w:val="lightGray"/>
              </w:rPr>
              <w:lastRenderedPageBreak/>
              <w:t>IKT-Risikomanagementrahmen</w:t>
            </w:r>
          </w:p>
        </w:tc>
        <w:tc>
          <w:tcPr>
            <w:tcW w:w="4066" w:type="dxa"/>
          </w:tcPr>
          <w:p w14:paraId="0CA8EEBE"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verfügen über einen angemessenen, soliden, umfassenden und gut dokumentierten IKT-Risikomanagementrahmen, der Teil ihres Gesamtrisikomanagementsystems ist.</w:t>
            </w:r>
          </w:p>
          <w:p w14:paraId="47DB9A55"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übertragen die Zuständigkeit für das Management und die Überwachung des IKT-Risikos an eine Kontrollfunktion und stellen ein angemessenes Mass an Unabhängigkeit dieser Kontrollfunktion sicher, um Interessenkonflikte zu vermeiden.*</w:t>
            </w:r>
          </w:p>
          <w:p w14:paraId="4EBC8845"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Der IKT-Risikomanagementrahmen wird mindestens einmal jährlich (im Falle von Kleinstunternehmen regelmässig) sowie bei Auftreten schwerwiegender IKT-bezogener Vorfälle und nach aufsichtsrechtlichen Anweisungen oder Feststellungen, die sich aus einschlägigen Tests der digitalen operationalen Resilienz oder Auditverfahren ergeben, dokumentiert und überprüft.*</w:t>
            </w:r>
          </w:p>
          <w:p w14:paraId="31C48D4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Im Einklang mit dem Revisionsplan des betreffenden Finanzunternehmens ist der IKT-Risikomanagementrahmen vom Finanzunternehmen regelmässig der Prüfung einer internen Revision zu unterziehen. *</w:t>
            </w:r>
          </w:p>
          <w:p w14:paraId="5C6D41FF"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Um IKT-Risiken zu bewältigen und zu managen, verwenden und unterhalten Finanzunternehmen stets auf dem neuesten Stand zu haltende und zuverlässige IKT-Systeme, -Protokolle und -</w:t>
            </w:r>
            <w:r w:rsidRPr="009E4FE7">
              <w:rPr>
                <w:rFonts w:cs="Arial"/>
                <w:i/>
                <w:szCs w:val="20"/>
                <w:highlight w:val="lightGray"/>
              </w:rPr>
              <w:lastRenderedPageBreak/>
              <w:t>Tools, die dem Umfang von Vorgängen, die die Ausübung ihrer Geschäftstätigkeiten unterstützen, angemessen sind.</w:t>
            </w:r>
          </w:p>
          <w:p w14:paraId="6689C5FA" w14:textId="77777777" w:rsidR="00F16B37" w:rsidRPr="009E4FE7" w:rsidRDefault="00F16B37" w:rsidP="00215195">
            <w:pPr>
              <w:pStyle w:val="Listenabsatz"/>
              <w:numPr>
                <w:ilvl w:val="1"/>
                <w:numId w:val="17"/>
              </w:numPr>
              <w:ind w:left="317" w:hanging="283"/>
              <w:jc w:val="both"/>
              <w:rPr>
                <w:highlight w:val="lightGray"/>
              </w:rPr>
            </w:pPr>
            <w:r w:rsidRPr="009E4FE7">
              <w:rPr>
                <w:rFonts w:cs="Arial"/>
                <w:i/>
                <w:iCs/>
                <w:szCs w:val="20"/>
                <w:highlight w:val="lightGray"/>
              </w:rPr>
              <w:t xml:space="preserve">Finanzunternehmen müssen alle IKT-gestützten Geschäftsprozesse, Systeme, </w:t>
            </w:r>
            <w:r w:rsidRPr="009E4FE7">
              <w:rPr>
                <w:rFonts w:cs="Arial"/>
                <w:i/>
                <w:szCs w:val="20"/>
                <w:highlight w:val="lightGray"/>
              </w:rPr>
              <w:t>Rollen und Verantwortlichkeiten,</w:t>
            </w:r>
            <w:r w:rsidRPr="009E4FE7">
              <w:rPr>
                <w:rFonts w:cs="Arial"/>
                <w:i/>
                <w:iCs/>
                <w:szCs w:val="20"/>
                <w:highlight w:val="lightGray"/>
              </w:rPr>
              <w:t xml:space="preserve"> Assets und deren interne sowie externe Abhängigkeiten systematisch identifizieren, klassifizieren, dokumentieren und führen regelmässig Risikobewertungen durch – insbesondere bei Änderungen und im Umgang mit veralteten Systemen sowie unter Berücksichtigung der Kritikalität.*</w:t>
            </w:r>
          </w:p>
          <w:p w14:paraId="4E7CE8B4"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iCs/>
                <w:szCs w:val="20"/>
                <w:highlight w:val="lightGray"/>
              </w:rPr>
              <w:t xml:space="preserve">Finanzunternehmen führen geeignete und angemessene Schutz- und Präventionsmassnahmen ein, um ihre IKT-Systeme und Daten wirksam gegen Bedrohungen, Angriffe und Störungen abzusichern – unter Berücksichtigung von Vertraulichkeit, Integrität und Verfügbarkeit sowie durch Anwendung angemessener </w:t>
            </w:r>
            <w:r w:rsidRPr="009E4FE7">
              <w:rPr>
                <w:rFonts w:cs="Arial"/>
                <w:i/>
                <w:szCs w:val="20"/>
                <w:highlight w:val="lightGray"/>
              </w:rPr>
              <w:t>IKT-Sicherheitstools, -Richtlinien und -Verfahren</w:t>
            </w:r>
            <w:r w:rsidRPr="009E4FE7">
              <w:rPr>
                <w:rFonts w:cs="Arial"/>
                <w:i/>
                <w:iCs/>
                <w:szCs w:val="20"/>
                <w:highlight w:val="lightGray"/>
              </w:rPr>
              <w:t>, Kontrollen der Zugangs- und Zugriffsrechte, Verschlüsselung, Netzwerksegmentierung und regelmässiger Überprüfung.</w:t>
            </w:r>
          </w:p>
        </w:tc>
        <w:tc>
          <w:tcPr>
            <w:tcW w:w="4075" w:type="dxa"/>
          </w:tcPr>
          <w:p w14:paraId="28F815E9"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lastRenderedPageBreak/>
              <w:t xml:space="preserve">Bestätigung, dass das Finanzunternehmen über einen angemessenen, soliden, umfassenden und gut dokumentierten Risikomanagementrahmen verfügt, welcher im Sinne der Grösse sowie des Risikoprofils angemessen ist. </w:t>
            </w:r>
          </w:p>
          <w:p w14:paraId="506D6149"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das Finanzunternehmen eine unabhängige Kontrollfunktion etabliert hat, die zuständig für das Management und die Überwachung des IKT-Risikos ist.*</w:t>
            </w:r>
          </w:p>
          <w:p w14:paraId="0F3A1EF7" w14:textId="77777777" w:rsidR="00F16B37" w:rsidRPr="009E4FE7" w:rsidRDefault="00F16B37" w:rsidP="00215195">
            <w:pPr>
              <w:pStyle w:val="Listenabsatz"/>
              <w:numPr>
                <w:ilvl w:val="1"/>
                <w:numId w:val="17"/>
              </w:numPr>
              <w:ind w:left="317" w:hanging="283"/>
              <w:jc w:val="both"/>
              <w:rPr>
                <w:rFonts w:cs="Arial"/>
                <w:szCs w:val="20"/>
                <w:highlight w:val="lightGray"/>
              </w:rPr>
            </w:pPr>
            <w:r w:rsidRPr="009E4FE7">
              <w:rPr>
                <w:rFonts w:cs="Arial"/>
                <w:i/>
                <w:szCs w:val="20"/>
                <w:highlight w:val="lightGray"/>
              </w:rPr>
              <w:t>Bestätigung, dass das Finanzunternehmen den IKT-Risikomanagementrahmen mindestens in vorgesehener Frequenz dokumentiert und überprüft sowie in den Prüfplan der Revision integriert.*</w:t>
            </w:r>
          </w:p>
          <w:p w14:paraId="43C29D5B" w14:textId="77777777" w:rsidR="00F16B37" w:rsidRPr="009E4FE7" w:rsidRDefault="00F16B37" w:rsidP="00215195">
            <w:pPr>
              <w:pStyle w:val="Listenabsatz"/>
              <w:numPr>
                <w:ilvl w:val="1"/>
                <w:numId w:val="17"/>
              </w:numPr>
              <w:ind w:left="317" w:hanging="283"/>
              <w:jc w:val="both"/>
              <w:rPr>
                <w:rFonts w:cs="Arial"/>
                <w:szCs w:val="20"/>
                <w:highlight w:val="lightGray"/>
              </w:rPr>
            </w:pPr>
            <w:r w:rsidRPr="009E4FE7">
              <w:rPr>
                <w:rFonts w:cs="Arial"/>
                <w:i/>
                <w:szCs w:val="20"/>
                <w:highlight w:val="lightGray"/>
              </w:rPr>
              <w:t>Bestätigung, dass das Finanzunternehmen zuverlässige und aktuelle IKT-Systeme, -Protokolle und -Tools, die dem Umfang von Vorgängen, die die Ausübung ihrer Geschäftstätigkeiten unterstützen, angemessen sind, verwenden und unterhalten.</w:t>
            </w:r>
          </w:p>
          <w:p w14:paraId="1C1B8BA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das Finanzunternehmen alle IKT-gestützten Geschäftsprozesse, Systeme, Rollen und Verantwortlichkeiten, Assets und deren interne sowie externe Abhängigkeiten systematisch identifizieren, klassifizieren, dokumentieren und regelmässig Risikobewertungen durchführen.*</w:t>
            </w:r>
          </w:p>
          <w:p w14:paraId="67C9F044"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iCs/>
                <w:szCs w:val="20"/>
                <w:highlight w:val="lightGray"/>
              </w:rPr>
              <w:t xml:space="preserve">Bestätigung, dass geeignete und angemessene Schutz- und </w:t>
            </w:r>
            <w:r w:rsidRPr="009E4FE7">
              <w:rPr>
                <w:rFonts w:cs="Arial"/>
                <w:i/>
                <w:iCs/>
                <w:szCs w:val="20"/>
                <w:highlight w:val="lightGray"/>
              </w:rPr>
              <w:lastRenderedPageBreak/>
              <w:t>Präventionsmassnahmen eingeführt wurden, um ihre IKT-Systeme und Daten wirksam gegen Bedrohungen, Angriffe und Störungen abzusichern.</w:t>
            </w:r>
          </w:p>
        </w:tc>
      </w:tr>
      <w:tr w:rsidR="00F16B37" w:rsidRPr="0052759D" w14:paraId="68BDD800" w14:textId="77777777" w:rsidTr="00215195">
        <w:trPr>
          <w:trHeight w:val="76"/>
        </w:trPr>
        <w:tc>
          <w:tcPr>
            <w:tcW w:w="1599" w:type="dxa"/>
          </w:tcPr>
          <w:p w14:paraId="05D8A8B6" w14:textId="77777777" w:rsidR="00F16B37" w:rsidRPr="00F16B37" w:rsidRDefault="00F16B37" w:rsidP="00215195">
            <w:pPr>
              <w:jc w:val="both"/>
              <w:rPr>
                <w:rFonts w:ascii="Arial" w:hAnsi="Arial" w:cs="Arial"/>
                <w:b/>
                <w:i/>
                <w:iCs/>
                <w:sz w:val="20"/>
                <w:szCs w:val="20"/>
                <w:highlight w:val="lightGray"/>
              </w:rPr>
            </w:pPr>
            <w:r w:rsidRPr="009E4FE7">
              <w:rPr>
                <w:rFonts w:ascii="Arial" w:hAnsi="Arial" w:cs="Arial"/>
                <w:i/>
                <w:iCs/>
                <w:sz w:val="20"/>
                <w:szCs w:val="20"/>
                <w:highlight w:val="lightGray"/>
              </w:rPr>
              <w:lastRenderedPageBreak/>
              <w:t xml:space="preserve">Reaktion &amp; Wiederherstellung </w:t>
            </w:r>
          </w:p>
        </w:tc>
        <w:tc>
          <w:tcPr>
            <w:tcW w:w="4066" w:type="dxa"/>
          </w:tcPr>
          <w:p w14:paraId="63CCF0E2"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Das Finanzunternehmen verfügt über eine umfassende IKT-Geschäftsfortführungsrichtlinie, die integraler Bestandteil der allgemeinen Geschäftsfortführungsrichtlinie des Finanzunternehmens ist.</w:t>
            </w:r>
          </w:p>
          <w:p w14:paraId="4841F2B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iCs/>
                <w:szCs w:val="20"/>
                <w:highlight w:val="lightGray"/>
              </w:rPr>
              <w:t xml:space="preserve">Das Finanzunternehmen hat über angemessene Pläne und Verfahren zur Reaktion auf sowie zur Wiederherstellung nach IKT-bezogenen Störungen und Vorfällen entwickelt, getestet </w:t>
            </w:r>
            <w:r w:rsidRPr="009E4FE7" w:rsidDel="00976E08">
              <w:rPr>
                <w:rFonts w:cs="Arial"/>
                <w:i/>
                <w:iCs/>
                <w:szCs w:val="20"/>
                <w:highlight w:val="lightGray"/>
              </w:rPr>
              <w:t xml:space="preserve">und </w:t>
            </w:r>
            <w:r w:rsidRPr="009E4FE7">
              <w:rPr>
                <w:rFonts w:cs="Arial"/>
                <w:i/>
                <w:iCs/>
                <w:szCs w:val="20"/>
                <w:highlight w:val="lightGray"/>
              </w:rPr>
              <w:t>in die Mehrjahresplanung der Internen Revision entsprechend integriert.*</w:t>
            </w:r>
          </w:p>
          <w:p w14:paraId="2509C79A"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Die internen Verfahren stellen sicher, dass eine angemessene Business-Impact-Analyse (BIA) der bestehenden Risiken für schwerwiegende Betriebsstörungen als Teil der allgemeinen Geschäftsfortführungsleitlinie durchgeführt wird, im Rahmen welcher die potenziellen Auswirkungen schwerwiegender Betriebsstörungen anhand quantitativer und qualitativer Kriterien, unter Verwendung interner und externer Daten und Szenarioanalysen, bewertet werden, unter Berücksichtigung der Kritikalität identifizierter Geschäftsprozesse, </w:t>
            </w:r>
            <w:r w:rsidRPr="009E4FE7">
              <w:rPr>
                <w:rFonts w:cs="Arial"/>
                <w:i/>
                <w:szCs w:val="20"/>
                <w:highlight w:val="lightGray"/>
              </w:rPr>
              <w:lastRenderedPageBreak/>
              <w:t>Unterstützungsprozesse, Abhängigkeiten von Dritten und Informationsressourcen sowie deren Interdependenzen.*</w:t>
            </w:r>
          </w:p>
          <w:p w14:paraId="033B265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Es wurde eine Krisenmanagementfunktion eingerichtet, die bei Aktivierung ihrer IKT-Geschäftsfortführungspläne oder ihrer IKT-Reaktions- und Wiederherstellungspläne unter anderem klare Verfahren für die Abwicklung interner und externer Krisenkommunikation gemäss Art. 14 DORA festlegt.*</w:t>
            </w:r>
          </w:p>
          <w:p w14:paraId="0F3B2882"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erstellen und dokumentieren angemessene Richtlinien und Verfahren sowie Wiedergewinnungs- und Wiederherstellungsverfahren und -methoden für die Datensicherung und richten angemessene Datensicherungssysteme ein und testen diese regelmässig - unter Berücksichtigung, dass Daten von ihrem Quellsystem physisch und logisch getrennt sind, sowie sicher vor unbefugtem Zugriff oder IKT-Manipulationen geschützt sind</w:t>
            </w:r>
          </w:p>
          <w:p w14:paraId="6B8DC69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unterhalten redundante IKT-Kapazitäten mit Ressourcen, Fähigkeiten und Funktionen, die für die Deckung des Geschäftsbedarfs ausreichen und angemessen sind. *</w:t>
            </w:r>
          </w:p>
          <w:p w14:paraId="390864A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internen Verfahren stellen sicher, dass bei der Wiederherstellung nach IKT-bezogenen Vorfällen die erforderlichen Prüfungen durchgeführt werden, einschliesslich jeglicher Mehrfachprüfungen und Abgleiche, um die grösstmögliche Datenintegrität sicherzustellen, wobei diese Prüfungen auch bei der Rekonstruktion von Daten externer Interessenträger durchgeführt werden, um sicherzustellen, dass alle Daten systemübergreifend einheitlich sind.</w:t>
            </w:r>
          </w:p>
          <w:p w14:paraId="120A0D6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verfügen über Kapazitäten und Personal, um Informationen über Schwachstellen und Cyberbedrohungen, IKT-bezogene Vorfälle, insbesondere Cyberangriffe, zu sammeln und ihre wahrscheinlichen Auswirkungen auf ihre digitale operationale Resilienz zu untersuchen.</w:t>
            </w:r>
          </w:p>
          <w:p w14:paraId="26B0B469"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iCs/>
                <w:szCs w:val="20"/>
                <w:highlight w:val="lightGray"/>
              </w:rPr>
              <w:t xml:space="preserve">Die internen Verfahren stellen sicher, dass Finanzunternehmen aus IKT-bezogenen Vorfällen, Tests und Bedrohungen systematisch durch nachträgliche Prüfungen lernen, ihre Sicherheitsmassnahmen kontinuierlich verbessern </w:t>
            </w:r>
            <w:r w:rsidRPr="009E4FE7">
              <w:rPr>
                <w:rFonts w:cs="Arial"/>
                <w:i/>
                <w:iCs/>
                <w:szCs w:val="20"/>
                <w:highlight w:val="lightGray"/>
              </w:rPr>
              <w:lastRenderedPageBreak/>
              <w:t xml:space="preserve">und organisatorisches Lernen fördern – unter anderem durch Ursachenanalysen, Anpassung von Schutzmassnahmen, </w:t>
            </w:r>
            <w:r w:rsidRPr="009E4FE7">
              <w:rPr>
                <w:rFonts w:cs="Arial"/>
                <w:i/>
                <w:szCs w:val="20"/>
                <w:highlight w:val="lightGray"/>
              </w:rPr>
              <w:t>Programmen zur Sensibilisierung, Informationen an das Leitungsorgan und Verfolgung technologischer Entwicklungen</w:t>
            </w:r>
            <w:r w:rsidRPr="009E4FE7">
              <w:rPr>
                <w:rFonts w:cs="Arial"/>
                <w:i/>
                <w:iCs/>
                <w:szCs w:val="20"/>
                <w:highlight w:val="lightGray"/>
              </w:rPr>
              <w:t>. *</w:t>
            </w:r>
          </w:p>
          <w:p w14:paraId="6405D604"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iCs/>
                <w:szCs w:val="20"/>
                <w:highlight w:val="lightGray"/>
              </w:rPr>
              <w:t>Finanzunternehmen müssen im Rahmen des IKT-Risikomanagementrahmens angemessene und klare Kommunikationsstrategien, -verfahren und -pläne für den Umgang mit IKT-bezogenen Vorfällen und Schwachstellen etablieren, um relevante interne und externe Stakeholder – einschliesslich Kunden, Mitarbeiter und Aufsichtsbehörden – zeitnah und transparent zu informieren.</w:t>
            </w:r>
          </w:p>
          <w:p w14:paraId="4EF0484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internen Verfahren stellen sicher, dass mindestens eine Person im Finanzunternehmen mit der Umsetzung der Kommunikationsstrategie für IKT-bezogene Vorfälle beauftragt ist und zu diesem Zweck die entsprechende Aufgabe gegenüber der Öffentlichkeit und den Medien wahrnimmt</w:t>
            </w:r>
          </w:p>
        </w:tc>
        <w:tc>
          <w:tcPr>
            <w:tcW w:w="4075" w:type="dxa"/>
          </w:tcPr>
          <w:p w14:paraId="7312543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lastRenderedPageBreak/>
              <w:t>Bestätigung, dass das Finanzunternehmen über eine umfassende IKT-Geschäftsfortführungsrichtlinie, die integraler Bestandteil der allgemeinen Geschäftsfortführungsrichtlinie des Finanzunternehmens ist, verfügt.</w:t>
            </w:r>
          </w:p>
          <w:p w14:paraId="21359C32"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w:t>
            </w:r>
            <w:r w:rsidRPr="009E4FE7">
              <w:rPr>
                <w:rFonts w:cs="Arial"/>
                <w:i/>
                <w:iCs/>
                <w:szCs w:val="20"/>
                <w:highlight w:val="lightGray"/>
              </w:rPr>
              <w:t>das Finanzunternehmen über angemessene Pläne und Verfahren zur Reaktion auf sowie zur Wiederherstellung nach IKT-bezogenen Störungen und Vorfällen verfügen, diese entwickeln, testen, aktualisieren und in die Mehrjahresplanung der Internen Revision entsprechend berücksichtigen</w:t>
            </w:r>
            <w:r w:rsidRPr="009E4FE7" w:rsidDel="0067428B">
              <w:rPr>
                <w:rFonts w:cs="Arial"/>
                <w:i/>
                <w:iCs/>
                <w:szCs w:val="20"/>
                <w:highlight w:val="lightGray"/>
              </w:rPr>
              <w:t>.</w:t>
            </w:r>
          </w:p>
          <w:p w14:paraId="20B5F85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internen Verfahren sicherstellen, dass eine BIA der bestehenden Risiken für schwerwiegende Betriebsstörungen als Teil der allgemeinen Geschäftsfortführungsleitlinie durchgeführt wird, im Rahmen, welcher die potenziellen Auswirkungen schwerwiegender Betriebsstörungen anhand quantitativer und qualitativer Kriterien bewertet werden.*</w:t>
            </w:r>
          </w:p>
          <w:p w14:paraId="00040037"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eine Krisenmanagementfunktion eingerichtet wurde.</w:t>
            </w:r>
          </w:p>
          <w:p w14:paraId="3488E7B7" w14:textId="77777777" w:rsidR="00F16B37" w:rsidRPr="009E4FE7" w:rsidRDefault="00F16B37" w:rsidP="00215195">
            <w:pPr>
              <w:pStyle w:val="Listenabsatz"/>
              <w:numPr>
                <w:ilvl w:val="1"/>
                <w:numId w:val="17"/>
              </w:numPr>
              <w:ind w:left="317" w:hanging="283"/>
              <w:rPr>
                <w:rFonts w:cs="Arial"/>
                <w:i/>
                <w:szCs w:val="20"/>
                <w:highlight w:val="lightGray"/>
              </w:rPr>
            </w:pPr>
            <w:r w:rsidRPr="009E4FE7">
              <w:rPr>
                <w:rFonts w:cs="Arial"/>
                <w:i/>
                <w:szCs w:val="20"/>
                <w:highlight w:val="lightGray"/>
              </w:rPr>
              <w:lastRenderedPageBreak/>
              <w:t>Bestätigung, dass das Finanzunternehmen als Teil ihres IKT-Risikomanagementrahmens angemessene Richtlinien und Verfahren sowie Wiedergewinnungs- und Wiederherstellungsverfahren und -methoden für die Datensicherung erstellt, dokumentiert und testet.</w:t>
            </w:r>
          </w:p>
          <w:p w14:paraId="032E37FE" w14:textId="77777777" w:rsidR="00F16B37" w:rsidRPr="009E4FE7" w:rsidRDefault="00F16B37" w:rsidP="00215195">
            <w:pPr>
              <w:pStyle w:val="Listenabsatz"/>
              <w:numPr>
                <w:ilvl w:val="1"/>
                <w:numId w:val="17"/>
              </w:numPr>
              <w:ind w:left="317" w:hanging="283"/>
              <w:rPr>
                <w:rFonts w:cs="Arial"/>
                <w:i/>
                <w:szCs w:val="20"/>
                <w:highlight w:val="lightGray"/>
              </w:rPr>
            </w:pPr>
            <w:r w:rsidRPr="009E4FE7">
              <w:rPr>
                <w:rFonts w:cs="Arial"/>
                <w:i/>
                <w:szCs w:val="20"/>
                <w:highlight w:val="lightGray"/>
              </w:rPr>
              <w:t>Bestätigung, dass das Finanzunternehmen redundante IKT-Kapazitäten mit Ressourcen, Fähigkeiten und Funktionen unterhält, die für die Deckung des Geschäftsbedarfs ausreichen und angemessen sind. *</w:t>
            </w:r>
          </w:p>
          <w:p w14:paraId="1F26CAC7" w14:textId="77777777" w:rsidR="00F16B37" w:rsidRPr="009E4FE7" w:rsidRDefault="00F16B37" w:rsidP="00215195">
            <w:pPr>
              <w:pStyle w:val="Listenabsatz"/>
              <w:numPr>
                <w:ilvl w:val="1"/>
                <w:numId w:val="17"/>
              </w:numPr>
              <w:ind w:left="317" w:hanging="283"/>
              <w:rPr>
                <w:rFonts w:cs="Arial"/>
                <w:i/>
                <w:szCs w:val="20"/>
                <w:highlight w:val="lightGray"/>
              </w:rPr>
            </w:pPr>
            <w:r w:rsidRPr="009E4FE7">
              <w:rPr>
                <w:rFonts w:cs="Arial"/>
                <w:i/>
                <w:szCs w:val="20"/>
                <w:highlight w:val="lightGray"/>
              </w:rPr>
              <w:t>Bestätigung, dass die internen Verfahren sicherstellen, dass bei der Wiederherstellung nach IKT-bezogenen Vorfällen die erforderlichen Prüfungen durchgeführt werden, um die grösstmögliche Datenintegrität sicherzustellen.</w:t>
            </w:r>
          </w:p>
          <w:p w14:paraId="2E3DF8A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das Finanzunternehmen über Kapazitäten und Personal verfügt, um Informationen über Schwachstellen und Cyberbedrohungen, IKT-bezogene Vorfälle zu sammeln und ihre wahrscheinlichen Auswirkungen auf ihre digitale operationale Resilienz zu untersuchen.</w:t>
            </w:r>
          </w:p>
          <w:p w14:paraId="1A798C15"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w:t>
            </w:r>
            <w:r w:rsidRPr="009E4FE7">
              <w:rPr>
                <w:rFonts w:cs="Arial"/>
                <w:i/>
                <w:iCs/>
                <w:szCs w:val="20"/>
                <w:highlight w:val="lightGray"/>
              </w:rPr>
              <w:t>die internen Verfahren sicherstellen, dass das Finanzunternehmen aus IKT-bezogenen Vorfällen, Tests und Bedrohungen systematisch durch nachträgliche Prüfungen lernt, ihre Sicherheitsmassnahmen kontinuierlich verbessert und organisatorisches Lernen fördert.</w:t>
            </w:r>
          </w:p>
          <w:p w14:paraId="43FFB63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das Finanzunternehmen im Rahmen des IKT-Risikomanagementrahmens angemessene und klare Kommunikationsstrategien, -verfahren und -pläne für den Umgang mit IKT-bezogenen Vorfällen und Schwachstellen etabliert hat, um relevante interne und externe Stakeholder – einschliesslich Kunden, Mitarbeiter und Aufsichtsbehörden – zeitnah und transparent zu informieren.</w:t>
            </w:r>
          </w:p>
          <w:p w14:paraId="43FD4C9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die internen Verfahren sicherstellen, dass mindestens eine Person im Finanzunternehmen mit der Umsetzung der Kommunikationsstrategie für IKT-bezogene Vorfälle beauftragt ist und zu diesem Zweck die </w:t>
            </w:r>
            <w:r w:rsidRPr="009E4FE7">
              <w:rPr>
                <w:rFonts w:cs="Arial"/>
                <w:i/>
                <w:szCs w:val="20"/>
                <w:highlight w:val="lightGray"/>
              </w:rPr>
              <w:lastRenderedPageBreak/>
              <w:t>entsprechende Aufgabe gegenüber der Öffentlichkeit und den Medien wahrnimmt.</w:t>
            </w:r>
          </w:p>
          <w:p w14:paraId="6770AD86" w14:textId="77777777" w:rsidR="00F16B37" w:rsidRPr="00F16B37" w:rsidRDefault="00F16B37" w:rsidP="00215195">
            <w:pPr>
              <w:jc w:val="both"/>
              <w:rPr>
                <w:rFonts w:ascii="Arial" w:hAnsi="Arial" w:cs="Arial"/>
                <w:b/>
                <w:i/>
                <w:iCs/>
                <w:sz w:val="20"/>
                <w:szCs w:val="20"/>
                <w:highlight w:val="lightGray"/>
              </w:rPr>
            </w:pPr>
          </w:p>
        </w:tc>
      </w:tr>
      <w:tr w:rsidR="00F16B37" w:rsidRPr="0052759D" w14:paraId="34685509" w14:textId="77777777" w:rsidTr="00215195">
        <w:trPr>
          <w:trHeight w:val="76"/>
        </w:trPr>
        <w:tc>
          <w:tcPr>
            <w:tcW w:w="1599" w:type="dxa"/>
          </w:tcPr>
          <w:p w14:paraId="56146E89" w14:textId="77777777" w:rsidR="00F16B37" w:rsidRPr="009E4FE7" w:rsidRDefault="00F16B37" w:rsidP="00215195">
            <w:pPr>
              <w:rPr>
                <w:rFonts w:ascii="Arial" w:hAnsi="Arial" w:cs="Arial"/>
                <w:i/>
                <w:iCs/>
                <w:sz w:val="20"/>
                <w:szCs w:val="20"/>
                <w:highlight w:val="lightGray"/>
              </w:rPr>
            </w:pPr>
            <w:r w:rsidRPr="009E4FE7">
              <w:rPr>
                <w:rFonts w:ascii="Arial" w:hAnsi="Arial" w:cs="Arial"/>
                <w:i/>
                <w:iCs/>
                <w:sz w:val="20"/>
                <w:szCs w:val="20"/>
                <w:highlight w:val="lightGray"/>
              </w:rPr>
              <w:lastRenderedPageBreak/>
              <w:t xml:space="preserve">Erkennung, Behandlung, Klassifizierung und Berichterstattung IKT-bezogener Vorfälle </w:t>
            </w:r>
          </w:p>
        </w:tc>
        <w:tc>
          <w:tcPr>
            <w:tcW w:w="4066" w:type="dxa"/>
          </w:tcPr>
          <w:p w14:paraId="68E1653E"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highlight w:val="lightGray"/>
              </w:rPr>
              <w:t>Finanzunternehmen implementieren angemessene Verfahren und Mechanismen zur effektiven Erkennung von IKT-bezogenen Anomalien, Vorfällen und potenziellen Bedrohungen – durch kontinuierliches Monitoring, Protokollierung, automatisierte Warnsysteme und zeitnahe Analyse zur schnellen Reaktion auf sicherheitsrelevante Ereignisse.</w:t>
            </w:r>
          </w:p>
          <w:p w14:paraId="29F5F5CF"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Finanzunternehmen stellen ausreichende Ressourcen und Kapazitäten bereit, um Nutzeraktivitäten, das Auftreten von IKT-Anomalien und IKT-bezogenen Vorfällen, darunter insbesondere Cyberangriffe, zu überwachen.</w:t>
            </w:r>
          </w:p>
          <w:p w14:paraId="5BE3CA75" w14:textId="77777777" w:rsidR="00F16B37" w:rsidRPr="009E4FE7" w:rsidRDefault="00F16B37" w:rsidP="00215195">
            <w:pPr>
              <w:pStyle w:val="Listenabsatz"/>
              <w:numPr>
                <w:ilvl w:val="1"/>
                <w:numId w:val="17"/>
              </w:numPr>
              <w:ind w:left="317" w:hanging="283"/>
              <w:jc w:val="both"/>
              <w:rPr>
                <w:rFonts w:cs="Arial"/>
                <w:i/>
                <w:highlight w:val="lightGray"/>
              </w:rPr>
            </w:pPr>
            <w:r w:rsidRPr="009E4FE7">
              <w:rPr>
                <w:rFonts w:cs="Arial"/>
                <w:i/>
                <w:highlight w:val="lightGray"/>
              </w:rPr>
              <w:t>Es bestehen angemessene Prozesse und Verfahren zur Identifikation, Behandlung, Klassifizierung und Berichterstattung von IKT-bezogenen Vorfällen</w:t>
            </w:r>
            <w:r w:rsidRPr="009E4FE7" w:rsidDel="000832EE">
              <w:rPr>
                <w:rFonts w:cs="Arial"/>
                <w:i/>
                <w:highlight w:val="lightGray"/>
              </w:rPr>
              <w:t xml:space="preserve"> </w:t>
            </w:r>
            <w:r w:rsidRPr="009E4FE7">
              <w:rPr>
                <w:rFonts w:cs="Arial"/>
                <w:i/>
                <w:highlight w:val="lightGray"/>
              </w:rPr>
              <w:t xml:space="preserve">sowie zur Behandlung und Kommunikation hinsichtlich erhebliche Cyberbedrohungen. </w:t>
            </w:r>
          </w:p>
          <w:p w14:paraId="4CDAD68D" w14:textId="77777777" w:rsidR="00F16B37" w:rsidRPr="00F16B37" w:rsidRDefault="00F16B37" w:rsidP="00215195">
            <w:pPr>
              <w:pStyle w:val="Listenabsatz"/>
              <w:numPr>
                <w:ilvl w:val="1"/>
                <w:numId w:val="17"/>
              </w:numPr>
              <w:ind w:left="317" w:hanging="283"/>
              <w:jc w:val="both"/>
              <w:rPr>
                <w:rFonts w:cs="Arial"/>
                <w:b/>
                <w:i/>
                <w:iCs/>
                <w:szCs w:val="20"/>
                <w:highlight w:val="lightGray"/>
              </w:rPr>
            </w:pPr>
            <w:r w:rsidRPr="009E4FE7">
              <w:rPr>
                <w:rFonts w:cs="Arial"/>
                <w:i/>
                <w:highlight w:val="lightGray"/>
              </w:rPr>
              <w:t>Es wurden alle IKT-bezogenen Vorfälle und erheblichen Cyberbedrohungen im Prüfjahr erfasst.</w:t>
            </w:r>
          </w:p>
        </w:tc>
        <w:tc>
          <w:tcPr>
            <w:tcW w:w="4075" w:type="dxa"/>
          </w:tcPr>
          <w:p w14:paraId="0265B638"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das Finanzunternehmen über </w:t>
            </w:r>
            <w:r w:rsidRPr="009E4FE7">
              <w:rPr>
                <w:rFonts w:cs="Arial"/>
                <w:i/>
                <w:iCs/>
                <w:szCs w:val="20"/>
                <w:highlight w:val="lightGray"/>
              </w:rPr>
              <w:t>angemessene Verfahren und Mechanismen zur effektiven Erkennung von IKT-bezogenen Anomalien, Vorfällen und potenziellen Bedrohungen verfügen und diese implementiert haben.</w:t>
            </w:r>
          </w:p>
          <w:p w14:paraId="130C3167" w14:textId="77777777" w:rsidR="00F16B37" w:rsidRPr="009E4FE7" w:rsidRDefault="00F16B37" w:rsidP="00215195">
            <w:pPr>
              <w:pStyle w:val="Listenabsatz"/>
              <w:numPr>
                <w:ilvl w:val="1"/>
                <w:numId w:val="17"/>
              </w:numPr>
              <w:ind w:left="317" w:hanging="283"/>
              <w:jc w:val="both"/>
              <w:rPr>
                <w:rFonts w:cs="Arial"/>
                <w:i/>
                <w:highlight w:val="lightGray"/>
              </w:rPr>
            </w:pPr>
            <w:r w:rsidRPr="009E4FE7">
              <w:rPr>
                <w:rFonts w:cs="Arial"/>
                <w:i/>
                <w:szCs w:val="20"/>
                <w:highlight w:val="lightGray"/>
              </w:rPr>
              <w:t>Bestätigung, dass ausreichende Ressourcen und Kapazitäten bereitstehen, um Nutzeraktivitäten, das Auftreten von IKT-Anomalien und IKT-bezogenen Vorfällen zu überwachen.</w:t>
            </w:r>
          </w:p>
          <w:p w14:paraId="55CFF298" w14:textId="77777777" w:rsidR="00F16B37" w:rsidRPr="009E4FE7" w:rsidRDefault="00F16B37" w:rsidP="00215195">
            <w:pPr>
              <w:pStyle w:val="Listenabsatz"/>
              <w:numPr>
                <w:ilvl w:val="1"/>
                <w:numId w:val="17"/>
              </w:numPr>
              <w:ind w:left="317" w:hanging="283"/>
              <w:jc w:val="both"/>
              <w:rPr>
                <w:rFonts w:cs="Arial"/>
                <w:i/>
                <w:highlight w:val="lightGray"/>
              </w:rPr>
            </w:pPr>
            <w:r w:rsidRPr="009E4FE7">
              <w:rPr>
                <w:rFonts w:cs="Arial"/>
                <w:i/>
                <w:highlight w:val="lightGray"/>
              </w:rPr>
              <w:t>Bestätigung, dass die internen Prozesse und Verfahren eine angemessene Identifikation, Behandlung, Klassifizierung und Berichterstattung von IKT-bezogener Vorfälle sowie Behandlung und Kommunikation hinsichtlich erhebliche Cyberbedrohungen sicherstellen.</w:t>
            </w:r>
          </w:p>
          <w:p w14:paraId="259A883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highlight w:val="lightGray"/>
              </w:rPr>
              <w:t>Bestätigung, dass alle IKT-bezogenen Vorfälle und erheblichen Cyberbedrohungen im Prüfjahr erfasst wurden.</w:t>
            </w:r>
          </w:p>
        </w:tc>
      </w:tr>
      <w:tr w:rsidR="00F16B37" w:rsidRPr="0052759D" w14:paraId="6AB38B8E" w14:textId="77777777" w:rsidTr="00215195">
        <w:trPr>
          <w:trHeight w:val="76"/>
        </w:trPr>
        <w:tc>
          <w:tcPr>
            <w:tcW w:w="1599" w:type="dxa"/>
          </w:tcPr>
          <w:p w14:paraId="219316CF" w14:textId="77777777" w:rsidR="00F16B37" w:rsidRPr="009E4FE7" w:rsidRDefault="00F16B37" w:rsidP="00215195">
            <w:pPr>
              <w:rPr>
                <w:rFonts w:ascii="Arial" w:hAnsi="Arial" w:cs="Arial"/>
                <w:i/>
                <w:iCs/>
                <w:sz w:val="20"/>
                <w:szCs w:val="20"/>
                <w:highlight w:val="lightGray"/>
              </w:rPr>
            </w:pPr>
            <w:r w:rsidRPr="009E4FE7">
              <w:rPr>
                <w:rFonts w:ascii="Arial" w:hAnsi="Arial" w:cs="Arial"/>
                <w:i/>
                <w:iCs/>
                <w:sz w:val="20"/>
                <w:szCs w:val="20"/>
                <w:highlight w:val="lightGray"/>
              </w:rPr>
              <w:t xml:space="preserve">Testen der digitalen </w:t>
            </w:r>
            <w:r w:rsidRPr="009E4FE7">
              <w:rPr>
                <w:rFonts w:ascii="Arial" w:hAnsi="Arial" w:cs="Arial"/>
                <w:i/>
                <w:iCs/>
                <w:sz w:val="20"/>
                <w:szCs w:val="20"/>
                <w:highlight w:val="lightGray"/>
              </w:rPr>
              <w:lastRenderedPageBreak/>
              <w:t>operationalen Resilienz</w:t>
            </w:r>
          </w:p>
        </w:tc>
        <w:tc>
          <w:tcPr>
            <w:tcW w:w="4066" w:type="dxa"/>
          </w:tcPr>
          <w:p w14:paraId="22DEC33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highlight w:val="lightGray"/>
              </w:rPr>
              <w:lastRenderedPageBreak/>
              <w:t xml:space="preserve">Es besteht ein angemessenes, solides und umfassendes Programm sowie angemessene Verfahren und Richtlinien </w:t>
            </w:r>
            <w:r w:rsidRPr="009E4FE7">
              <w:rPr>
                <w:rFonts w:cs="Arial"/>
                <w:i/>
                <w:highlight w:val="lightGray"/>
              </w:rPr>
              <w:lastRenderedPageBreak/>
              <w:t>für das Testen der digitalen operationalen Resilienz als integraler Bestandteil des IKT-Risikomanagementrahmens, welches laufend gepflegt und überprüft wird und darauf abzielt</w:t>
            </w:r>
            <w:r w:rsidRPr="009E4FE7">
              <w:rPr>
                <w:rFonts w:cs="Arial"/>
                <w:i/>
                <w:szCs w:val="20"/>
                <w:highlight w:val="lightGray"/>
              </w:rPr>
              <w:t>, die Vorbereitung auf IKT-bezogene Vorfälle zu bewerten, Schwächen und Mängel zu identifizieren und die umgehende Umsetzung entsprechender Ma</w:t>
            </w:r>
            <w:r w:rsidRPr="009E4FE7">
              <w:rPr>
                <w:rFonts w:cs="Arial"/>
                <w:i/>
                <w:highlight w:val="lightGray"/>
              </w:rPr>
              <w:t>ss</w:t>
            </w:r>
            <w:r w:rsidRPr="009E4FE7">
              <w:rPr>
                <w:rFonts w:cs="Arial"/>
                <w:i/>
                <w:szCs w:val="20"/>
                <w:highlight w:val="lightGray"/>
              </w:rPr>
              <w:t>nahmen zu ermöglichen. *</w:t>
            </w:r>
          </w:p>
          <w:p w14:paraId="56F2E6EC" w14:textId="77777777" w:rsidR="00F16B37" w:rsidRPr="00F16B37" w:rsidRDefault="00F16B37" w:rsidP="00215195">
            <w:pPr>
              <w:jc w:val="both"/>
              <w:rPr>
                <w:rFonts w:ascii="Arial" w:hAnsi="Arial" w:cs="Arial"/>
                <w:b/>
                <w:i/>
                <w:iCs/>
                <w:sz w:val="20"/>
                <w:szCs w:val="20"/>
                <w:highlight w:val="lightGray"/>
              </w:rPr>
            </w:pPr>
          </w:p>
        </w:tc>
        <w:tc>
          <w:tcPr>
            <w:tcW w:w="4075" w:type="dxa"/>
          </w:tcPr>
          <w:p w14:paraId="3F91C772" w14:textId="77777777" w:rsidR="00F16B37" w:rsidRPr="009E4FE7" w:rsidRDefault="00F16B37" w:rsidP="00215195">
            <w:pPr>
              <w:pStyle w:val="Listenabsatz"/>
              <w:numPr>
                <w:ilvl w:val="1"/>
                <w:numId w:val="17"/>
              </w:numPr>
              <w:ind w:left="317" w:hanging="283"/>
              <w:jc w:val="both"/>
              <w:rPr>
                <w:rFonts w:cs="Arial"/>
                <w:i/>
                <w:highlight w:val="lightGray"/>
              </w:rPr>
            </w:pPr>
            <w:r w:rsidRPr="009E4FE7">
              <w:rPr>
                <w:rFonts w:cs="Arial"/>
                <w:i/>
                <w:highlight w:val="lightGray"/>
              </w:rPr>
              <w:lastRenderedPageBreak/>
              <w:t xml:space="preserve">Bestätigung, dass ein angemessenes, solides und umfassendes Programm sowie angemessene Verfahren und </w:t>
            </w:r>
            <w:r w:rsidRPr="009E4FE7">
              <w:rPr>
                <w:rFonts w:cs="Arial"/>
                <w:i/>
                <w:highlight w:val="lightGray"/>
              </w:rPr>
              <w:lastRenderedPageBreak/>
              <w:t>Richtlinien für das Testen der digitalen operationalen Resilienz als integraler Bestandteil des IKT-Risikomanagementrahmens besteht.</w:t>
            </w:r>
          </w:p>
          <w:p w14:paraId="569D46D7" w14:textId="77777777" w:rsidR="00F16B37" w:rsidRPr="00F16B37" w:rsidRDefault="00F16B37" w:rsidP="00215195">
            <w:pPr>
              <w:jc w:val="both"/>
              <w:rPr>
                <w:rFonts w:ascii="Arial" w:hAnsi="Arial" w:cs="Arial"/>
                <w:b/>
                <w:i/>
                <w:iCs/>
                <w:sz w:val="20"/>
                <w:szCs w:val="20"/>
                <w:highlight w:val="lightGray"/>
              </w:rPr>
            </w:pPr>
          </w:p>
        </w:tc>
      </w:tr>
      <w:tr w:rsidR="00F16B37" w:rsidRPr="0052759D" w14:paraId="5323307E" w14:textId="77777777" w:rsidTr="00215195">
        <w:trPr>
          <w:trHeight w:val="76"/>
        </w:trPr>
        <w:tc>
          <w:tcPr>
            <w:tcW w:w="1599" w:type="dxa"/>
          </w:tcPr>
          <w:p w14:paraId="04FDC48B" w14:textId="77777777" w:rsidR="00F16B37" w:rsidRPr="009E4FE7" w:rsidRDefault="00F16B37" w:rsidP="00215195">
            <w:pPr>
              <w:jc w:val="both"/>
              <w:rPr>
                <w:rFonts w:ascii="Arial" w:hAnsi="Arial" w:cs="Arial"/>
                <w:i/>
                <w:iCs/>
                <w:sz w:val="20"/>
                <w:szCs w:val="20"/>
                <w:highlight w:val="lightGray"/>
              </w:rPr>
            </w:pPr>
            <w:r w:rsidRPr="009E4FE7">
              <w:rPr>
                <w:rFonts w:ascii="Arial" w:hAnsi="Arial" w:cs="Arial"/>
                <w:i/>
                <w:iCs/>
                <w:sz w:val="20"/>
                <w:szCs w:val="20"/>
                <w:highlight w:val="lightGray"/>
              </w:rPr>
              <w:lastRenderedPageBreak/>
              <w:t xml:space="preserve">Management des IKT-Drittparteienrisikos </w:t>
            </w:r>
          </w:p>
          <w:p w14:paraId="1669C8F0" w14:textId="77777777" w:rsidR="00F16B37" w:rsidRPr="009E4FE7" w:rsidRDefault="00F16B37" w:rsidP="00215195">
            <w:pPr>
              <w:rPr>
                <w:rFonts w:ascii="Arial" w:hAnsi="Arial" w:cs="Arial"/>
                <w:i/>
                <w:iCs/>
                <w:sz w:val="20"/>
                <w:szCs w:val="20"/>
                <w:highlight w:val="lightGray"/>
              </w:rPr>
            </w:pPr>
          </w:p>
        </w:tc>
        <w:tc>
          <w:tcPr>
            <w:tcW w:w="4066" w:type="dxa"/>
          </w:tcPr>
          <w:p w14:paraId="734E5AC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Das Finanzunternehmen verfügt im Umgang mit IKT-Drittdienstleistern über klare Governance-Strukturen sowie angemessene Auswahl- und Bewertungsverfahren.</w:t>
            </w:r>
          </w:p>
          <w:p w14:paraId="1FFC8777"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Die Leitlinie zur Nutzung von IKT-Dienstleistungen, die kritische oder wichtige Funktionen unterstützen und von IKT-Drittdienstleistern bereitgestellt werden, enthält die erforderlichen Anforderungen, Prinzipien, Verantwortlichkeiten und Prozesse für jede Hauptphase des Lebenszyklus dieser IKT-Dienstleistungen und wird zumindest einmal jährlich überprüft bzw. aktualisiert. Die Überprüfung ist zu dokumentieren. </w:t>
            </w:r>
          </w:p>
          <w:p w14:paraId="35E5A2B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wesentlichen Risiken, welche durch vertragliche Vereinbarungen mit IKT-Drittdienstleisters entstehen, werden laufend identifiziert, bewertet, gemessen, begrenzt, überwacht, gesteuert und dokumentiert.</w:t>
            </w:r>
          </w:p>
          <w:p w14:paraId="459F3E90"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internen Verfahren stellen sicher, dass Finanzunternehmen im Rahmen der Risikobewertung regelmässig bewerten, ob eine kritische Abhängigkeit von einzelnen IKT-Drittdienstleistern oder -Infrastrukturen besteht, die zu Konzentrationsrisiken führen kann – insbesondere im Hinblick auf mögliche Systemausfälle, eingeschränkte Substituierbarkeit und Auswirkungen auf die Betriebsstabilität.</w:t>
            </w:r>
          </w:p>
          <w:p w14:paraId="092FE120"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internen Verfahren und Prozesse sowie die gegebene Datenlage stellen sicher, dass das Informationsregister korrekt befüllt und der FMA fristgerecht gemeldet werden kann.</w:t>
            </w:r>
          </w:p>
          <w:p w14:paraId="0CDC2EB1"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Die Verträge mit IKT-Drittdienstleistern enthalten klare, überprüfbare und durchsetzbare Anforderungen – insbesondere zu Dienstleistungsgüte, </w:t>
            </w:r>
            <w:r w:rsidRPr="009E4FE7">
              <w:rPr>
                <w:rFonts w:cs="Arial"/>
                <w:i/>
                <w:szCs w:val="20"/>
                <w:highlight w:val="lightGray"/>
              </w:rPr>
              <w:lastRenderedPageBreak/>
              <w:t>Sicherheitsstandards, Zugangs- und Prüfungsrechten, Kündigungsrechte, Beendigungsszenarien sowie zum Verfahren bei IKT-bezogenen Vorfällen.</w:t>
            </w:r>
          </w:p>
          <w:p w14:paraId="75F7FA43"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Die internen Prozesse und Verfahren stellen sicher, dass die vertraglichen Vereinbarungen sowie die Leistungserbringung entsprechend der Kritikalität der betroffenen Funktion angemessen und entsprechend der festgelegten Zuständigkeit mit angemessenen Personalressourcen überwacht werden. </w:t>
            </w:r>
          </w:p>
          <w:p w14:paraId="4548E4DC"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Die internen Verfahren stellen sicher, dass die in den vertraglichen Vereinbarungen enthaltenen Kündigungsregelungen (Gründe für Kündigung sowie Fristen) im Sinne der Exit-Planung gewährleisten, dass die vertragliche Vereinbarung beendet werden kann, ohne die Geschäftstätigkeiten zu unterbrechen oder die Einhaltung der regulatorischen Anforderungen zu gefährden. </w:t>
            </w:r>
          </w:p>
          <w:p w14:paraId="1880A3F7"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Die internen Verfahren stellen sicher, dass für jede vertragliche IKT-Vereinbarung über IKT-Dienstleistungen, die kritische oder wichtige Funktionen unterstützen und von einem IKT-Drittdienstleister bereitgestellt werden, ein dokumentierter und angemessener Exit-Plan vorliegt.</w:t>
            </w:r>
          </w:p>
          <w:p w14:paraId="1A1EFE9E" w14:textId="77777777" w:rsidR="00F16B37" w:rsidRPr="00F16B37" w:rsidRDefault="00F16B37" w:rsidP="00215195">
            <w:pPr>
              <w:jc w:val="both"/>
              <w:rPr>
                <w:rFonts w:ascii="Arial" w:hAnsi="Arial" w:cs="Arial"/>
                <w:b/>
                <w:i/>
                <w:iCs/>
                <w:sz w:val="20"/>
                <w:szCs w:val="20"/>
                <w:highlight w:val="lightGray"/>
              </w:rPr>
            </w:pPr>
          </w:p>
        </w:tc>
        <w:tc>
          <w:tcPr>
            <w:tcW w:w="4075" w:type="dxa"/>
          </w:tcPr>
          <w:p w14:paraId="321ABC9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lastRenderedPageBreak/>
              <w:t>Bestätigung, dass das Finanzunternehmen im Umgang mit IKT-Drittdienstleistern über klare Governance-Strukturen sowie angemessene Auswahl- und Bewertungsverfahren verfügt.</w:t>
            </w:r>
          </w:p>
          <w:p w14:paraId="46C24B8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Leitlinie zur Nutzung von IKT-Dienstleistungen, die kritische oder wichtige Funktionen unterstützen und von IKT-Drittdienstleistern, die bereitgestellt werden, die erforderlichen Mindestinhalte für jede Hauptphase des Lebenszyklus in angemessener Weise abdeckt und zumindest jährlich überprüft wird.</w:t>
            </w:r>
          </w:p>
          <w:p w14:paraId="26D8E70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internen Prozesse sicherstellen, dass das IKT-Drittparteienrisiko identifiziert, bewertet, gemessen, begrenzt, überwacht, gesteuert und dokumentiert wird.</w:t>
            </w:r>
          </w:p>
          <w:p w14:paraId="6A2458C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internen Verfahren sicherstellen, dass das Finanzunternehmen im Rahmen der Risikobewertung regelmässig bewertet, ob eine kritische Abhängigkeit von einzelnen IKT-Drittdienstleistern oder -Infrastrukturen besteht, die zu Konzentrationsrisiken führen kann.</w:t>
            </w:r>
          </w:p>
          <w:p w14:paraId="0F6EA496"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internen Verfahren und Prozesse sowie die gegebene Datenlage sicherstellen, dass das Informationsregister korrekt befüllt und der FMA fristgerecht gemeldet wird.</w:t>
            </w:r>
          </w:p>
          <w:p w14:paraId="22ACBD40"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Verträge mit IKT-Drittdienstleistern klare, überprüfbare und durchsetzbare Anforderungen enthalten – insbesondere zu Dienstleistungsgüte, Sicherheitsstandards, Zugangs- und Prüfungsrechten, Kündigungsrechte, Beendigungsszenarien sowie zum Verfahren bei IKT-bezogenen Vorfällen.</w:t>
            </w:r>
          </w:p>
          <w:p w14:paraId="57E500E9"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lastRenderedPageBreak/>
              <w:t>Bestätigung, dass die vertraglichen Vereinbarungen betreffend die Nutzung von IKT-Dienstleistungen, die kritische oder wichtige Funktionen unterstützen, Bestimmungen enthalten, die sicherstellen, dass das Finanzunternehmen, seine Revisoren und die zuständigen Behörden effektiven Zugang zu Daten und Räumlichkeiten gewähren.</w:t>
            </w:r>
          </w:p>
          <w:p w14:paraId="0760E17C"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die internen Prozesse und Verfahren sicherstellen, dass die vertraglichen Vereinbarungen sowie die Leistungserbringung entsprechend der Kritikalität der betroffenen Funktion angemessen und entsprechend der festgelegten Zuständigkeit mit angemessenen Personalressourcen überwacht werden. </w:t>
            </w:r>
          </w:p>
          <w:p w14:paraId="2AB708AC"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 xml:space="preserve">Bestätigung, dass die internen Verfahren und Prozesse sicherstellen, dass die in den vertraglichen Vereinbarungen enthaltenen Kündigungsregelungen (Gründe für Kündigung sowie Fristen) gewährleisten, dass die vertragliche Vereinbarung beendet werden kann, ohne die Geschäftstätigkeiten zu unterbrechen oder die Einhaltung der regulatorischen Anforderungen zu gefährden. </w:t>
            </w:r>
          </w:p>
          <w:p w14:paraId="4AD471EB" w14:textId="77777777" w:rsidR="00F16B37" w:rsidRPr="009E4FE7" w:rsidRDefault="00F16B37" w:rsidP="00215195">
            <w:pPr>
              <w:pStyle w:val="Listenabsatz"/>
              <w:numPr>
                <w:ilvl w:val="1"/>
                <w:numId w:val="17"/>
              </w:numPr>
              <w:ind w:left="317" w:hanging="283"/>
              <w:jc w:val="both"/>
              <w:rPr>
                <w:rFonts w:cs="Arial"/>
                <w:i/>
                <w:szCs w:val="20"/>
                <w:highlight w:val="lightGray"/>
              </w:rPr>
            </w:pPr>
            <w:r w:rsidRPr="009E4FE7">
              <w:rPr>
                <w:rFonts w:cs="Arial"/>
                <w:i/>
                <w:szCs w:val="20"/>
                <w:highlight w:val="lightGray"/>
              </w:rPr>
              <w:t>Bestätigung, dass die internen Verfahren sicherstellen, dass für jede vertragliche IKT-Vereinbarung über IKT-Dienstleistungen, die kritische oder wichtige Funktionen unterstützen und von einem IKT-Drittdienstleister bereitgestellt werden, ein dokumentierter und angemessener Exit-Plan vorliegt.</w:t>
            </w:r>
          </w:p>
        </w:tc>
      </w:tr>
    </w:tbl>
    <w:p w14:paraId="08082FBD" w14:textId="77777777" w:rsidR="00F16B37" w:rsidRDefault="00F16B37" w:rsidP="00F16B37">
      <w:pPr>
        <w:jc w:val="both"/>
      </w:pPr>
    </w:p>
    <w:p w14:paraId="24CD67B1" w14:textId="3D1C1098" w:rsidR="00F16B37" w:rsidRDefault="00F16B37" w:rsidP="00F16B37">
      <w:pPr>
        <w:jc w:val="both"/>
      </w:pPr>
      <w:r w:rsidRPr="00276C60">
        <w:rPr>
          <w:rFonts w:ascii="Arial" w:hAnsi="Arial" w:cs="Arial"/>
          <w:i/>
          <w:sz w:val="20"/>
          <w:szCs w:val="20"/>
          <w:highlight w:val="yellow"/>
        </w:rPr>
        <w:t>Text</w:t>
      </w:r>
    </w:p>
    <w:p w14:paraId="4B3CEEAD" w14:textId="77777777" w:rsidR="006E6503" w:rsidRDefault="006E6503" w:rsidP="008C30D1">
      <w:pPr>
        <w:jc w:val="both"/>
      </w:pPr>
    </w:p>
    <w:p w14:paraId="42C7C23A" w14:textId="77777777" w:rsidR="006E6503" w:rsidRDefault="006E6503" w:rsidP="008C30D1">
      <w:pPr>
        <w:jc w:val="both"/>
      </w:pPr>
    </w:p>
    <w:p w14:paraId="7336B2D5" w14:textId="58487988" w:rsidR="008C30D1" w:rsidRDefault="008C30D1" w:rsidP="006F7AB5">
      <w:pPr>
        <w:pStyle w:val="FINMAGliederungEbene2"/>
      </w:pPr>
      <w:bookmarkStart w:id="72" w:name="_Toc216425817"/>
      <w:r>
        <w:t>ICAAP</w:t>
      </w:r>
      <w:r w:rsidR="00115C45">
        <w:t xml:space="preserve"> </w:t>
      </w:r>
      <w:r w:rsidR="0003063F">
        <w:t>(ICA-1)</w:t>
      </w:r>
      <w:bookmarkEnd w:id="72"/>
    </w:p>
    <w:p w14:paraId="14378E34" w14:textId="77777777" w:rsidR="00E94778" w:rsidRDefault="00E94778" w:rsidP="00CB3EE6">
      <w:pPr>
        <w:jc w:val="both"/>
        <w:rPr>
          <w:rFonts w:ascii="Arial" w:hAnsi="Arial"/>
          <w:sz w:val="20"/>
        </w:rPr>
      </w:pPr>
    </w:p>
    <w:tbl>
      <w:tblPr>
        <w:tblStyle w:val="Tabellenraster"/>
        <w:tblW w:w="0" w:type="auto"/>
        <w:tblInd w:w="-5" w:type="dxa"/>
        <w:tblLook w:val="04A0" w:firstRow="1" w:lastRow="0" w:firstColumn="1" w:lastColumn="0" w:noHBand="0" w:noVBand="1"/>
      </w:tblPr>
      <w:tblGrid>
        <w:gridCol w:w="3426"/>
        <w:gridCol w:w="2317"/>
        <w:gridCol w:w="1333"/>
        <w:gridCol w:w="2138"/>
      </w:tblGrid>
      <w:tr w:rsidR="00063CE6" w:rsidRPr="009872F3" w14:paraId="376A7FBC" w14:textId="77777777" w:rsidTr="0099798B">
        <w:trPr>
          <w:trHeight w:val="563"/>
        </w:trPr>
        <w:tc>
          <w:tcPr>
            <w:tcW w:w="3426" w:type="dxa"/>
          </w:tcPr>
          <w:p w14:paraId="249DCBA4" w14:textId="77777777" w:rsidR="00063CE6" w:rsidRPr="009872F3" w:rsidRDefault="00063CE6" w:rsidP="00063CE6">
            <w:pPr>
              <w:jc w:val="both"/>
              <w:rPr>
                <w:rFonts w:ascii="Arial" w:hAnsi="Arial" w:cs="Arial"/>
                <w:sz w:val="18"/>
                <w:szCs w:val="18"/>
              </w:rPr>
            </w:pPr>
            <w:bookmarkStart w:id="73" w:name="_Hlk118663032"/>
            <w:r w:rsidRPr="009872F3">
              <w:rPr>
                <w:rFonts w:ascii="Arial" w:hAnsi="Arial" w:cs="Arial"/>
                <w:sz w:val="18"/>
                <w:szCs w:val="18"/>
              </w:rPr>
              <w:t>Nettorisiko</w:t>
            </w:r>
          </w:p>
        </w:tc>
        <w:tc>
          <w:tcPr>
            <w:tcW w:w="2317" w:type="dxa"/>
          </w:tcPr>
          <w:p w14:paraId="549A17F6"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Intervention Berichtsjahr:</w:t>
            </w:r>
          </w:p>
        </w:tc>
        <w:tc>
          <w:tcPr>
            <w:tcW w:w="3471" w:type="dxa"/>
            <w:gridSpan w:val="2"/>
          </w:tcPr>
          <w:p w14:paraId="369619DA"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398B" w:rsidRPr="009872F3" w14:paraId="5985CF56" w14:textId="77777777" w:rsidTr="0099798B">
        <w:trPr>
          <w:trHeight w:val="698"/>
        </w:trPr>
        <w:tc>
          <w:tcPr>
            <w:tcW w:w="3426" w:type="dxa"/>
          </w:tcPr>
          <w:p w14:paraId="0BB32A57" w14:textId="77777777"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317" w:type="dxa"/>
          </w:tcPr>
          <w:p w14:paraId="736BF351" w14:textId="2BA1322B"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 xml:space="preserve">Detailprüfung </w:t>
            </w:r>
          </w:p>
        </w:tc>
        <w:tc>
          <w:tcPr>
            <w:tcW w:w="3471" w:type="dxa"/>
            <w:gridSpan w:val="2"/>
          </w:tcPr>
          <w:p w14:paraId="04E5209A" w14:textId="77777777" w:rsidR="0047398B" w:rsidRDefault="0047398B" w:rsidP="00063CE6">
            <w:pPr>
              <w:jc w:val="both"/>
              <w:rPr>
                <w:rFonts w:ascii="Arial" w:hAnsi="Arial" w:cs="Arial"/>
                <w:sz w:val="18"/>
                <w:szCs w:val="18"/>
                <w:highlight w:val="green"/>
              </w:rPr>
            </w:pPr>
            <w:r w:rsidRPr="009872F3">
              <w:rPr>
                <w:rFonts w:ascii="Arial" w:hAnsi="Arial" w:cs="Arial"/>
                <w:sz w:val="18"/>
                <w:szCs w:val="18"/>
              </w:rPr>
              <w:t>Detailprüfung:</w:t>
            </w:r>
          </w:p>
          <w:p w14:paraId="11E356CE" w14:textId="6520646C" w:rsidR="0047398B" w:rsidRPr="006749F0" w:rsidRDefault="0047398B" w:rsidP="00063CE6">
            <w:pPr>
              <w:jc w:val="both"/>
              <w:rPr>
                <w:rFonts w:ascii="Arial" w:hAnsi="Arial" w:cs="Arial"/>
                <w:i/>
                <w:sz w:val="18"/>
                <w:szCs w:val="18"/>
              </w:rPr>
            </w:pPr>
            <w:r w:rsidRPr="006749F0">
              <w:rPr>
                <w:rFonts w:ascii="Arial" w:hAnsi="Arial" w:cs="Arial"/>
                <w:i/>
                <w:sz w:val="18"/>
                <w:szCs w:val="18"/>
                <w:highlight w:val="yellow"/>
              </w:rPr>
              <w:t>Jahr</w:t>
            </w:r>
          </w:p>
        </w:tc>
      </w:tr>
      <w:tr w:rsidR="00063CE6" w:rsidRPr="009872F3" w14:paraId="6938A036" w14:textId="77777777" w:rsidTr="0099798B">
        <w:trPr>
          <w:trHeight w:val="133"/>
        </w:trPr>
        <w:tc>
          <w:tcPr>
            <w:tcW w:w="9214" w:type="dxa"/>
            <w:gridSpan w:val="4"/>
          </w:tcPr>
          <w:p w14:paraId="7D70006A" w14:textId="77777777" w:rsidR="00063CE6" w:rsidRDefault="00063CE6" w:rsidP="00063CE6">
            <w:pPr>
              <w:jc w:val="both"/>
              <w:rPr>
                <w:rFonts w:ascii="Arial" w:hAnsi="Arial" w:cs="Arial"/>
                <w:sz w:val="18"/>
                <w:szCs w:val="18"/>
              </w:rPr>
            </w:pPr>
          </w:p>
          <w:p w14:paraId="4CCCCB1B" w14:textId="77777777" w:rsidR="00063CE6" w:rsidRPr="00F60909" w:rsidRDefault="00063CE6" w:rsidP="00063CE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798BA86" w14:textId="5DA15B6F" w:rsidR="00063CE6" w:rsidRPr="009872F3" w:rsidRDefault="00063CE6" w:rsidP="00063CE6">
            <w:pPr>
              <w:jc w:val="both"/>
              <w:rPr>
                <w:rFonts w:ascii="Arial" w:hAnsi="Arial" w:cs="Arial"/>
                <w:sz w:val="18"/>
                <w:szCs w:val="18"/>
              </w:rPr>
            </w:pPr>
            <w:r w:rsidRPr="00CB3EE6">
              <w:rPr>
                <w:rFonts w:ascii="Arial" w:hAnsi="Arial" w:cs="Arial"/>
                <w:sz w:val="18"/>
                <w:szCs w:val="18"/>
                <w:highlight w:val="yellow"/>
              </w:rPr>
              <w:t xml:space="preserve">Art </w:t>
            </w:r>
            <w:r w:rsidR="004D61A7">
              <w:rPr>
                <w:rFonts w:ascii="Arial" w:hAnsi="Arial" w:cs="Arial"/>
                <w:sz w:val="18"/>
                <w:szCs w:val="18"/>
                <w:highlight w:val="yellow"/>
              </w:rPr>
              <w:t xml:space="preserve">78 f </w:t>
            </w:r>
            <w:r w:rsidRPr="00CB3EE6">
              <w:rPr>
                <w:rFonts w:ascii="Arial" w:hAnsi="Arial" w:cs="Arial"/>
                <w:sz w:val="18"/>
                <w:szCs w:val="18"/>
                <w:highlight w:val="yellow"/>
              </w:rPr>
              <w:t xml:space="preserve">BankG; </w:t>
            </w:r>
            <w:r w:rsidR="004D61A7">
              <w:rPr>
                <w:rFonts w:ascii="Arial" w:hAnsi="Arial" w:cs="Arial"/>
                <w:sz w:val="18"/>
                <w:szCs w:val="18"/>
                <w:highlight w:val="yellow"/>
              </w:rPr>
              <w:t>Art. 16 BankV</w:t>
            </w:r>
            <w:r w:rsidRPr="00CB3EE6">
              <w:rPr>
                <w:rFonts w:ascii="Arial" w:hAnsi="Arial" w:cs="Arial"/>
                <w:sz w:val="18"/>
                <w:szCs w:val="18"/>
                <w:highlight w:val="yellow"/>
              </w:rPr>
              <w:t xml:space="preserve">.; FMA-Mitteilung 2017/4; </w:t>
            </w:r>
            <w:r>
              <w:rPr>
                <w:rFonts w:ascii="Arial" w:hAnsi="Arial" w:cs="Arial"/>
                <w:sz w:val="18"/>
                <w:szCs w:val="18"/>
                <w:highlight w:val="yellow"/>
              </w:rPr>
              <w:t>EBA/GL/2018/04</w:t>
            </w:r>
          </w:p>
        </w:tc>
      </w:tr>
      <w:tr w:rsidR="00063CE6" w:rsidRPr="009872F3" w14:paraId="5CA79E0C" w14:textId="77777777" w:rsidTr="0099798B">
        <w:trPr>
          <w:trHeight w:val="294"/>
        </w:trPr>
        <w:tc>
          <w:tcPr>
            <w:tcW w:w="9214" w:type="dxa"/>
            <w:gridSpan w:val="4"/>
          </w:tcPr>
          <w:p w14:paraId="3C672949" w14:textId="77777777" w:rsidR="00063CE6" w:rsidRPr="00F246D4" w:rsidRDefault="00063CE6" w:rsidP="00063CE6">
            <w:pPr>
              <w:jc w:val="both"/>
              <w:rPr>
                <w:rFonts w:ascii="Arial" w:hAnsi="Arial"/>
                <w:b/>
                <w:sz w:val="18"/>
              </w:rPr>
            </w:pPr>
            <w:r>
              <w:rPr>
                <w:rFonts w:ascii="Arial" w:hAnsi="Arial" w:cs="Arial"/>
                <w:b/>
                <w:bCs/>
                <w:sz w:val="18"/>
                <w:szCs w:val="18"/>
              </w:rPr>
              <w:t>Jährliche Bestätigung:</w:t>
            </w:r>
            <w:r w:rsidRPr="00E07BBF">
              <w:rPr>
                <w:rFonts w:ascii="Arial" w:hAnsi="Arial" w:cs="Arial"/>
                <w:b/>
                <w:bCs/>
                <w:sz w:val="18"/>
                <w:szCs w:val="18"/>
              </w:rPr>
              <w:t xml:space="preserve"> </w:t>
            </w:r>
          </w:p>
        </w:tc>
      </w:tr>
      <w:tr w:rsidR="00063CE6" w:rsidRPr="009872F3" w14:paraId="056B2990" w14:textId="77777777" w:rsidTr="0099798B">
        <w:tc>
          <w:tcPr>
            <w:tcW w:w="7076" w:type="dxa"/>
            <w:gridSpan w:val="3"/>
          </w:tcPr>
          <w:p w14:paraId="25672BF8" w14:textId="77777777" w:rsidR="00063CE6" w:rsidRPr="00F246D4" w:rsidRDefault="00063CE6" w:rsidP="00063CE6">
            <w:pPr>
              <w:jc w:val="both"/>
              <w:rPr>
                <w:rFonts w:ascii="Arial" w:hAnsi="Arial"/>
                <w:sz w:val="18"/>
              </w:rPr>
            </w:pPr>
            <w:r w:rsidRPr="00F246D4">
              <w:rPr>
                <w:rFonts w:ascii="Arial" w:hAnsi="Arial"/>
                <w:sz w:val="18"/>
              </w:rPr>
              <w:t xml:space="preserve">Bestätigung, dass </w:t>
            </w:r>
            <w:r w:rsidRPr="00F246D4">
              <w:rPr>
                <w:rFonts w:ascii="Arial" w:hAnsi="Arial" w:cs="Arial"/>
                <w:sz w:val="18"/>
                <w:szCs w:val="18"/>
              </w:rPr>
              <w:t>alle Kernelemente des</w:t>
            </w:r>
            <w:r w:rsidRPr="00F246D4">
              <w:rPr>
                <w:rFonts w:ascii="Arial" w:hAnsi="Arial"/>
                <w:sz w:val="18"/>
              </w:rPr>
              <w:t xml:space="preserve"> ICAAP </w:t>
            </w:r>
            <w:r w:rsidRPr="00F246D4">
              <w:rPr>
                <w:rFonts w:ascii="Arial" w:hAnsi="Arial" w:cs="Arial"/>
                <w:sz w:val="18"/>
                <w:szCs w:val="18"/>
              </w:rPr>
              <w:t>inkl. Limitenänderungen jährlich</w:t>
            </w:r>
            <w:r w:rsidRPr="00F246D4">
              <w:rPr>
                <w:rFonts w:ascii="Arial" w:hAnsi="Arial"/>
                <w:sz w:val="18"/>
              </w:rPr>
              <w:t xml:space="preserve"> und </w:t>
            </w:r>
            <w:r w:rsidRPr="00F246D4">
              <w:rPr>
                <w:rFonts w:ascii="Arial" w:hAnsi="Arial" w:cs="Arial"/>
                <w:sz w:val="18"/>
                <w:szCs w:val="18"/>
              </w:rPr>
              <w:t>vollständig erstellt und vom Verwaltungsrat genehmigt werden.</w:t>
            </w:r>
          </w:p>
        </w:tc>
        <w:tc>
          <w:tcPr>
            <w:tcW w:w="2138" w:type="dxa"/>
          </w:tcPr>
          <w:p w14:paraId="020E9B5E" w14:textId="73C38B1B" w:rsidR="00063CE6" w:rsidRPr="00F246D4" w:rsidRDefault="00063CE6" w:rsidP="00063CE6">
            <w:pPr>
              <w:jc w:val="both"/>
              <w:rPr>
                <w:rFonts w:ascii="Arial" w:hAnsi="Arial"/>
                <w:i/>
                <w:sz w:val="18"/>
              </w:rPr>
            </w:pPr>
            <w:r w:rsidRPr="00F246D4">
              <w:rPr>
                <w:rFonts w:ascii="Arial" w:hAnsi="Arial"/>
                <w:i/>
                <w:sz w:val="18"/>
                <w:highlight w:val="yellow"/>
              </w:rPr>
              <w:t>Ja (Detailprüfung</w:t>
            </w:r>
            <w:r w:rsidR="0047398B">
              <w:rPr>
                <w:rFonts w:ascii="Arial" w:hAnsi="Arial"/>
                <w:i/>
                <w:sz w:val="18"/>
                <w:highlight w:val="yellow"/>
              </w:rPr>
              <w:t xml:space="preserve">) </w:t>
            </w:r>
            <w:r w:rsidRPr="00F246D4">
              <w:rPr>
                <w:rFonts w:ascii="Arial" w:hAnsi="Arial"/>
                <w:i/>
                <w:sz w:val="18"/>
                <w:highlight w:val="yellow"/>
              </w:rPr>
              <w:t>/ Nein</w:t>
            </w:r>
            <w:r w:rsidRPr="00F246D4" w:rsidDel="00496A0A">
              <w:rPr>
                <w:rFonts w:ascii="Arial" w:hAnsi="Arial" w:cs="Arial"/>
                <w:sz w:val="18"/>
                <w:szCs w:val="18"/>
              </w:rPr>
              <w:t xml:space="preserve"> </w:t>
            </w:r>
          </w:p>
        </w:tc>
      </w:tr>
      <w:tr w:rsidR="00063CE6" w:rsidRPr="009872F3" w14:paraId="5532A0FC" w14:textId="77777777" w:rsidTr="0099798B">
        <w:tc>
          <w:tcPr>
            <w:tcW w:w="9214" w:type="dxa"/>
            <w:gridSpan w:val="4"/>
          </w:tcPr>
          <w:p w14:paraId="7B262691" w14:textId="77777777" w:rsidR="00063CE6" w:rsidRPr="005B06CE" w:rsidRDefault="00063CE6" w:rsidP="00063CE6">
            <w:pPr>
              <w:jc w:val="both"/>
              <w:rPr>
                <w:rFonts w:ascii="Arial" w:hAnsi="Arial" w:cs="Arial"/>
                <w:b/>
                <w:bCs/>
                <w:sz w:val="18"/>
                <w:szCs w:val="18"/>
              </w:rPr>
            </w:pPr>
            <w:r w:rsidRPr="005B06CE">
              <w:rPr>
                <w:rFonts w:ascii="Arial" w:hAnsi="Arial" w:cs="Arial"/>
                <w:b/>
                <w:bCs/>
                <w:sz w:val="18"/>
                <w:szCs w:val="18"/>
              </w:rPr>
              <w:lastRenderedPageBreak/>
              <w:t>Rotierende Bestätigungen</w:t>
            </w:r>
            <w:r>
              <w:rPr>
                <w:rFonts w:ascii="Arial" w:hAnsi="Arial" w:cs="Arial"/>
                <w:b/>
                <w:bCs/>
                <w:sz w:val="18"/>
                <w:szCs w:val="18"/>
              </w:rPr>
              <w:t>:</w:t>
            </w:r>
          </w:p>
          <w:p w14:paraId="01A294C9" w14:textId="77777777" w:rsidR="00063CE6" w:rsidRPr="005B06CE" w:rsidRDefault="00063CE6" w:rsidP="00063CE6">
            <w:pPr>
              <w:jc w:val="both"/>
              <w:rPr>
                <w:rFonts w:ascii="Arial" w:hAnsi="Arial" w:cs="Arial"/>
                <w:i/>
                <w:sz w:val="18"/>
                <w:szCs w:val="18"/>
              </w:rPr>
            </w:pPr>
            <w:r>
              <w:rPr>
                <w:rFonts w:ascii="Arial" w:hAnsi="Arial" w:cs="Arial"/>
                <w:b/>
                <w:bCs/>
                <w:sz w:val="18"/>
                <w:szCs w:val="18"/>
              </w:rPr>
              <w:t>Intervention</w:t>
            </w:r>
            <w:r w:rsidRPr="005B06CE">
              <w:rPr>
                <w:rFonts w:ascii="Arial" w:hAnsi="Arial" w:cs="Arial"/>
                <w:b/>
                <w:bCs/>
                <w:sz w:val="18"/>
                <w:szCs w:val="18"/>
              </w:rPr>
              <w:t xml:space="preserve"> 1</w:t>
            </w:r>
            <w:r>
              <w:rPr>
                <w:rFonts w:ascii="Arial" w:hAnsi="Arial" w:cs="Arial"/>
                <w:b/>
                <w:bCs/>
                <w:sz w:val="18"/>
                <w:szCs w:val="18"/>
              </w:rPr>
              <w:t xml:space="preserve"> – </w:t>
            </w:r>
            <w:r w:rsidRPr="00AB6553">
              <w:rPr>
                <w:rFonts w:ascii="Arial" w:hAnsi="Arial" w:cs="Arial"/>
                <w:b/>
                <w:bCs/>
                <w:sz w:val="18"/>
                <w:szCs w:val="18"/>
              </w:rPr>
              <w:t>Risikoprofil</w:t>
            </w:r>
            <w:r>
              <w:rPr>
                <w:rFonts w:ascii="Arial" w:hAnsi="Arial" w:cs="Arial"/>
                <w:b/>
                <w:bCs/>
                <w:sz w:val="18"/>
                <w:szCs w:val="18"/>
              </w:rPr>
              <w:t xml:space="preserve"> und</w:t>
            </w:r>
            <w:r w:rsidRPr="00AB6553">
              <w:rPr>
                <w:rFonts w:ascii="Arial" w:hAnsi="Arial" w:cs="Arial"/>
                <w:b/>
                <w:bCs/>
                <w:sz w:val="18"/>
                <w:szCs w:val="18"/>
              </w:rPr>
              <w:t xml:space="preserve"> Risikoaggregation</w:t>
            </w:r>
            <w:r w:rsidRPr="005B06CE">
              <w:rPr>
                <w:rFonts w:ascii="Arial" w:hAnsi="Arial" w:cs="Arial"/>
                <w:b/>
                <w:bCs/>
                <w:sz w:val="18"/>
                <w:szCs w:val="18"/>
              </w:rPr>
              <w:t>:</w:t>
            </w:r>
          </w:p>
        </w:tc>
      </w:tr>
      <w:tr w:rsidR="00063CE6" w:rsidRPr="009872F3" w14:paraId="53DE0CAE" w14:textId="77777777" w:rsidTr="0099798B">
        <w:trPr>
          <w:trHeight w:val="689"/>
        </w:trPr>
        <w:tc>
          <w:tcPr>
            <w:tcW w:w="7076" w:type="dxa"/>
            <w:gridSpan w:val="3"/>
          </w:tcPr>
          <w:p w14:paraId="1256C5B5" w14:textId="123DA64A"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die angemessene quantitative Risikotragfähigkeitsrechnung für alle für das Geschäftsmodell der </w:t>
            </w:r>
            <w:r w:rsidR="0008336D" w:rsidRPr="00BF6946">
              <w:rPr>
                <w:rFonts w:ascii="Arial" w:hAnsi="Arial" w:cs="Arial"/>
                <w:sz w:val="18"/>
                <w:szCs w:val="18"/>
              </w:rPr>
              <w:t>Bank bzw. der Gruppe</w:t>
            </w:r>
            <w:r>
              <w:rPr>
                <w:rFonts w:ascii="Arial" w:hAnsi="Arial" w:cs="Arial"/>
                <w:sz w:val="18"/>
                <w:szCs w:val="18"/>
              </w:rPr>
              <w:t xml:space="preserve"> wesentlichen Risikoarten </w:t>
            </w:r>
            <w:r w:rsidRPr="00B13BD6">
              <w:rPr>
                <w:rFonts w:ascii="Arial" w:hAnsi="Arial" w:cs="Arial"/>
                <w:sz w:val="18"/>
                <w:szCs w:val="18"/>
              </w:rPr>
              <w:t>inkl. der Berücksichtigung neuer Märkte und Produkte in der Simulationsplanung unter</w:t>
            </w:r>
            <w:r>
              <w:rPr>
                <w:rFonts w:ascii="Arial" w:hAnsi="Arial" w:cs="Arial"/>
                <w:sz w:val="18"/>
                <w:szCs w:val="18"/>
              </w:rPr>
              <w:t xml:space="preserve"> Berücksichtigung der ökonomischen und der regulatorischen ICAAP-Perspektiven sicherstellen.</w:t>
            </w:r>
          </w:p>
        </w:tc>
        <w:tc>
          <w:tcPr>
            <w:tcW w:w="2138" w:type="dxa"/>
          </w:tcPr>
          <w:p w14:paraId="25EB6DBF" w14:textId="6D15B814" w:rsidR="00063CE6" w:rsidRPr="00F246D4" w:rsidRDefault="0047398B" w:rsidP="00063CE6">
            <w:pPr>
              <w:jc w:val="both"/>
              <w:rPr>
                <w:rFonts w:ascii="Arial" w:hAnsi="Arial"/>
                <w:i/>
                <w:sz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17FB7BA" w14:textId="77777777" w:rsidTr="0099798B">
        <w:tc>
          <w:tcPr>
            <w:tcW w:w="7076" w:type="dxa"/>
            <w:gridSpan w:val="3"/>
          </w:tcPr>
          <w:p w14:paraId="08995651" w14:textId="77777777" w:rsidR="00063CE6" w:rsidRDefault="00063CE6" w:rsidP="00063CE6">
            <w:pPr>
              <w:jc w:val="both"/>
              <w:rPr>
                <w:rFonts w:ascii="Arial" w:hAnsi="Arial" w:cs="Arial"/>
                <w:sz w:val="18"/>
                <w:szCs w:val="18"/>
              </w:rPr>
            </w:pPr>
            <w:r>
              <w:rPr>
                <w:rFonts w:ascii="Arial" w:hAnsi="Arial" w:cs="Arial"/>
                <w:sz w:val="18"/>
                <w:szCs w:val="18"/>
              </w:rPr>
              <w:t>Bestätigung, dass die internen Verfahren die Berücksichtigung wesentlicher Korrelationen, Konzentrationen und Diversifikationsmöglichkeiten zwischen den Risikoarten im Rahmen der Risikotragfähigkeitsrechnung sicherstellen und in angemessener Weise die Risiken zum Gesamtrisiko aggregiert werden.</w:t>
            </w:r>
          </w:p>
        </w:tc>
        <w:tc>
          <w:tcPr>
            <w:tcW w:w="2138" w:type="dxa"/>
          </w:tcPr>
          <w:p w14:paraId="7D911280" w14:textId="4743619E" w:rsidR="00063CE6" w:rsidRPr="00F246D4" w:rsidRDefault="0047398B" w:rsidP="00063CE6">
            <w:pPr>
              <w:jc w:val="both"/>
              <w:rPr>
                <w:rFonts w:ascii="Arial" w:hAnsi="Arial"/>
                <w:i/>
                <w:sz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4013843" w14:textId="77777777" w:rsidTr="0099798B">
        <w:tc>
          <w:tcPr>
            <w:tcW w:w="7076" w:type="dxa"/>
            <w:gridSpan w:val="3"/>
          </w:tcPr>
          <w:p w14:paraId="5BB844E4" w14:textId="77777777" w:rsidR="00063CE6" w:rsidRPr="00F246D4" w:rsidRDefault="00063CE6" w:rsidP="00063CE6">
            <w:pPr>
              <w:jc w:val="both"/>
              <w:rPr>
                <w:rFonts w:ascii="Arial" w:hAnsi="Arial"/>
                <w:sz w:val="18"/>
              </w:rPr>
            </w:pPr>
            <w:r w:rsidRPr="00D61702">
              <w:rPr>
                <w:rFonts w:ascii="Arial" w:hAnsi="Arial"/>
                <w:sz w:val="18"/>
              </w:rPr>
              <w:t xml:space="preserve">Bestätigung, dass die internen Verfahren </w:t>
            </w:r>
            <w:r w:rsidRPr="00D61702">
              <w:rPr>
                <w:rFonts w:ascii="Arial" w:hAnsi="Arial" w:cs="Arial"/>
                <w:sz w:val="18"/>
                <w:szCs w:val="18"/>
              </w:rPr>
              <w:t>ein Deckungspotential in angemessener Höhe</w:t>
            </w:r>
            <w:r w:rsidRPr="00D61702">
              <w:rPr>
                <w:rFonts w:ascii="Arial" w:hAnsi="Arial"/>
                <w:sz w:val="18"/>
              </w:rPr>
              <w:t xml:space="preserve"> und </w:t>
            </w:r>
            <w:r w:rsidRPr="00D61702">
              <w:rPr>
                <w:rFonts w:ascii="Arial" w:hAnsi="Arial" w:cs="Arial"/>
                <w:sz w:val="18"/>
                <w:szCs w:val="18"/>
              </w:rPr>
              <w:t>Qualität zur vollen Verlustabsorption</w:t>
            </w:r>
            <w:r w:rsidRPr="00D61702">
              <w:rPr>
                <w:rFonts w:ascii="Arial" w:hAnsi="Arial"/>
                <w:sz w:val="18"/>
              </w:rPr>
              <w:t xml:space="preserve"> sicherstellen, sodass der Risikoappetit der Risikotragfähigkeitsberechnung die Risikodeckungsmasse nicht übersteigt</w:t>
            </w:r>
            <w:r>
              <w:rPr>
                <w:rFonts w:ascii="Arial" w:hAnsi="Arial"/>
                <w:sz w:val="18"/>
              </w:rPr>
              <w:t xml:space="preserve"> und auch unter gewissen Stressszenarien nicht übersteigen kann,</w:t>
            </w:r>
            <w:r>
              <w:rPr>
                <w:rFonts w:ascii="Arial" w:hAnsi="Arial" w:cs="Arial"/>
                <w:sz w:val="18"/>
                <w:szCs w:val="18"/>
              </w:rPr>
              <w:t xml:space="preserve"> und </w:t>
            </w:r>
            <w:r w:rsidRPr="00A625E5">
              <w:rPr>
                <w:rFonts w:ascii="Arial" w:hAnsi="Arial" w:cs="Arial"/>
                <w:sz w:val="18"/>
                <w:szCs w:val="18"/>
              </w:rPr>
              <w:t>eine angemessene Allokation des Kapitals gewährleistet ist</w:t>
            </w:r>
            <w:r>
              <w:rPr>
                <w:rFonts w:ascii="Arial" w:hAnsi="Arial" w:cs="Arial"/>
                <w:sz w:val="18"/>
                <w:szCs w:val="18"/>
              </w:rPr>
              <w:t xml:space="preserve"> </w:t>
            </w:r>
          </w:p>
        </w:tc>
        <w:tc>
          <w:tcPr>
            <w:tcW w:w="2138" w:type="dxa"/>
          </w:tcPr>
          <w:p w14:paraId="4737D55D" w14:textId="7287C53F" w:rsidR="00063CE6" w:rsidRPr="00F246D4" w:rsidRDefault="0047398B" w:rsidP="00063CE6">
            <w:pPr>
              <w:jc w:val="both"/>
              <w:rPr>
                <w:rFonts w:ascii="Arial" w:hAnsi="Arial"/>
                <w:i/>
                <w:sz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AA66C99" w14:textId="77777777" w:rsidTr="0099798B">
        <w:tc>
          <w:tcPr>
            <w:tcW w:w="9214" w:type="dxa"/>
            <w:gridSpan w:val="4"/>
          </w:tcPr>
          <w:p w14:paraId="7DD83642" w14:textId="77777777" w:rsidR="00063CE6" w:rsidRPr="00F246D4" w:rsidRDefault="00063CE6" w:rsidP="00063CE6">
            <w:pPr>
              <w:jc w:val="both"/>
              <w:rPr>
                <w:rFonts w:ascii="Arial" w:hAnsi="Arial"/>
                <w:b/>
                <w:sz w:val="18"/>
              </w:rPr>
            </w:pPr>
            <w:r>
              <w:rPr>
                <w:rFonts w:ascii="Arial" w:hAnsi="Arial" w:cs="Arial"/>
                <w:b/>
                <w:bCs/>
                <w:sz w:val="18"/>
                <w:szCs w:val="18"/>
              </w:rPr>
              <w:t>Intervention</w:t>
            </w:r>
            <w:r w:rsidRPr="005B06CE">
              <w:rPr>
                <w:rFonts w:ascii="Arial" w:hAnsi="Arial" w:cs="Arial"/>
                <w:b/>
                <w:bCs/>
                <w:sz w:val="18"/>
                <w:szCs w:val="18"/>
              </w:rPr>
              <w:t xml:space="preserve"> 2</w:t>
            </w:r>
            <w:r>
              <w:rPr>
                <w:rFonts w:ascii="Arial" w:hAnsi="Arial" w:cs="Arial"/>
                <w:b/>
                <w:bCs/>
                <w:sz w:val="18"/>
                <w:szCs w:val="18"/>
              </w:rPr>
              <w:t xml:space="preserve"> – </w:t>
            </w:r>
            <w:r w:rsidRPr="00AB6553">
              <w:rPr>
                <w:rFonts w:ascii="Arial" w:hAnsi="Arial" w:cs="Arial"/>
                <w:b/>
                <w:bCs/>
                <w:sz w:val="18"/>
                <w:szCs w:val="18"/>
              </w:rPr>
              <w:t>Governance, Limitenwesen und inter</w:t>
            </w:r>
            <w:r>
              <w:rPr>
                <w:rFonts w:ascii="Arial" w:hAnsi="Arial" w:cs="Arial"/>
                <w:b/>
                <w:bCs/>
                <w:sz w:val="18"/>
                <w:szCs w:val="18"/>
              </w:rPr>
              <w:t>n</w:t>
            </w:r>
            <w:r w:rsidRPr="00AB6553">
              <w:rPr>
                <w:rFonts w:ascii="Arial" w:hAnsi="Arial" w:cs="Arial"/>
                <w:b/>
                <w:bCs/>
                <w:sz w:val="18"/>
                <w:szCs w:val="18"/>
              </w:rPr>
              <w:t>es Risikoreporting</w:t>
            </w:r>
            <w:r w:rsidRPr="005B06CE">
              <w:rPr>
                <w:rFonts w:ascii="Arial" w:hAnsi="Arial" w:cs="Arial"/>
                <w:b/>
                <w:bCs/>
                <w:sz w:val="18"/>
                <w:szCs w:val="18"/>
              </w:rPr>
              <w:t>:</w:t>
            </w:r>
          </w:p>
        </w:tc>
      </w:tr>
      <w:tr w:rsidR="00063CE6" w:rsidRPr="00E109DF" w14:paraId="2D77E5FE" w14:textId="77777777" w:rsidTr="0099798B">
        <w:tc>
          <w:tcPr>
            <w:tcW w:w="7076" w:type="dxa"/>
            <w:gridSpan w:val="3"/>
          </w:tcPr>
          <w:p w14:paraId="0DA115B5"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w:t>
            </w:r>
            <w:r w:rsidRPr="003D31C0">
              <w:rPr>
                <w:rFonts w:ascii="Arial" w:hAnsi="Arial" w:cs="Arial"/>
                <w:sz w:val="18"/>
                <w:szCs w:val="18"/>
              </w:rPr>
              <w:t>eine kohärente</w:t>
            </w:r>
            <w:r>
              <w:rPr>
                <w:rFonts w:ascii="Arial" w:hAnsi="Arial" w:cs="Arial"/>
                <w:sz w:val="18"/>
                <w:szCs w:val="18"/>
              </w:rPr>
              <w:t xml:space="preserve"> und angemessene</w:t>
            </w:r>
            <w:r w:rsidRPr="003D31C0">
              <w:rPr>
                <w:rFonts w:ascii="Arial" w:hAnsi="Arial" w:cs="Arial"/>
                <w:sz w:val="18"/>
                <w:szCs w:val="18"/>
              </w:rPr>
              <w:t xml:space="preserve"> Governance </w:t>
            </w:r>
            <w:r>
              <w:rPr>
                <w:rFonts w:ascii="Arial" w:hAnsi="Arial" w:cs="Arial"/>
                <w:sz w:val="18"/>
                <w:szCs w:val="18"/>
              </w:rPr>
              <w:t>in Bezug auf</w:t>
            </w:r>
            <w:r w:rsidRPr="003D31C0">
              <w:rPr>
                <w:rFonts w:ascii="Arial" w:hAnsi="Arial" w:cs="Arial"/>
                <w:sz w:val="18"/>
                <w:szCs w:val="18"/>
              </w:rPr>
              <w:t xml:space="preserve"> Weisungswesen, Risikoappetit, Limiten</w:t>
            </w:r>
            <w:r>
              <w:rPr>
                <w:rFonts w:ascii="Arial" w:hAnsi="Arial" w:cs="Arial"/>
                <w:sz w:val="18"/>
                <w:szCs w:val="18"/>
              </w:rPr>
              <w:t>, Stresstesting (Zuständigkeiten, Rapport, Kohärenz zum Limitenwesen)</w:t>
            </w:r>
            <w:r w:rsidRPr="003D31C0">
              <w:rPr>
                <w:rFonts w:ascii="Arial" w:hAnsi="Arial" w:cs="Arial"/>
                <w:sz w:val="18"/>
                <w:szCs w:val="18"/>
              </w:rPr>
              <w:t xml:space="preserve"> und Frühwarnindikatoren sowie interne</w:t>
            </w:r>
            <w:r>
              <w:rPr>
                <w:rFonts w:ascii="Arial" w:hAnsi="Arial" w:cs="Arial"/>
                <w:sz w:val="18"/>
                <w:szCs w:val="18"/>
              </w:rPr>
              <w:t xml:space="preserve"> Risikoberichterstattung (Adressaten, Periodizität) </w:t>
            </w:r>
            <w:r w:rsidRPr="0052531C">
              <w:rPr>
                <w:rFonts w:ascii="Arial" w:hAnsi="Arial" w:cs="Arial"/>
                <w:sz w:val="18"/>
                <w:szCs w:val="18"/>
              </w:rPr>
              <w:t>sichergestellt wird.</w:t>
            </w:r>
          </w:p>
        </w:tc>
        <w:tc>
          <w:tcPr>
            <w:tcW w:w="2138" w:type="dxa"/>
          </w:tcPr>
          <w:p w14:paraId="77CA7859" w14:textId="69AF0D9E" w:rsidR="00063CE6" w:rsidRPr="00DF1993"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E109DF" w14:paraId="69159F0D" w14:textId="77777777" w:rsidTr="0099798B">
        <w:tc>
          <w:tcPr>
            <w:tcW w:w="7076" w:type="dxa"/>
            <w:gridSpan w:val="3"/>
          </w:tcPr>
          <w:p w14:paraId="6BBF1E42"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die </w:t>
            </w:r>
            <w:r w:rsidRPr="00E674C6">
              <w:rPr>
                <w:rFonts w:ascii="Arial" w:hAnsi="Arial" w:cs="Arial"/>
                <w:sz w:val="18"/>
                <w:szCs w:val="18"/>
              </w:rPr>
              <w:t xml:space="preserve">Bewertungen aus der </w:t>
            </w:r>
            <w:r>
              <w:rPr>
                <w:rFonts w:ascii="Arial" w:hAnsi="Arial" w:cs="Arial"/>
                <w:sz w:val="18"/>
                <w:szCs w:val="18"/>
              </w:rPr>
              <w:t xml:space="preserve">regulatorischen Perspektive sowie aus der </w:t>
            </w:r>
            <w:r w:rsidRPr="00E674C6">
              <w:rPr>
                <w:rFonts w:ascii="Arial" w:hAnsi="Arial" w:cs="Arial"/>
                <w:sz w:val="18"/>
                <w:szCs w:val="18"/>
              </w:rPr>
              <w:t xml:space="preserve">ökonomisch internen Perspektive in die interne Berichterstattung, </w:t>
            </w:r>
            <w:r>
              <w:rPr>
                <w:rFonts w:ascii="Arial" w:hAnsi="Arial" w:cs="Arial"/>
                <w:sz w:val="18"/>
                <w:szCs w:val="18"/>
              </w:rPr>
              <w:t xml:space="preserve">das </w:t>
            </w:r>
            <w:r w:rsidRPr="00E674C6">
              <w:rPr>
                <w:rFonts w:ascii="Arial" w:hAnsi="Arial" w:cs="Arial"/>
                <w:sz w:val="18"/>
                <w:szCs w:val="18"/>
              </w:rPr>
              <w:t xml:space="preserve">Limitenwesen und </w:t>
            </w:r>
            <w:r>
              <w:rPr>
                <w:rFonts w:ascii="Arial" w:hAnsi="Arial" w:cs="Arial"/>
                <w:sz w:val="18"/>
                <w:szCs w:val="18"/>
              </w:rPr>
              <w:t xml:space="preserve">das </w:t>
            </w:r>
            <w:r w:rsidRPr="00E674C6">
              <w:rPr>
                <w:rFonts w:ascii="Arial" w:hAnsi="Arial" w:cs="Arial"/>
                <w:sz w:val="18"/>
                <w:szCs w:val="18"/>
              </w:rPr>
              <w:t>Risikoappetitrahmenwerk e</w:t>
            </w:r>
            <w:r>
              <w:rPr>
                <w:rFonts w:ascii="Arial" w:hAnsi="Arial" w:cs="Arial"/>
                <w:sz w:val="18"/>
                <w:szCs w:val="18"/>
              </w:rPr>
              <w:t>infliessen.</w:t>
            </w:r>
          </w:p>
        </w:tc>
        <w:tc>
          <w:tcPr>
            <w:tcW w:w="2138" w:type="dxa"/>
          </w:tcPr>
          <w:p w14:paraId="1DF8B3C7" w14:textId="53880F9B" w:rsidR="00063CE6" w:rsidRPr="00ED7968"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3BC571DF" w14:textId="77777777" w:rsidTr="0099798B">
        <w:tc>
          <w:tcPr>
            <w:tcW w:w="9214" w:type="dxa"/>
            <w:gridSpan w:val="4"/>
          </w:tcPr>
          <w:p w14:paraId="7D8393AE" w14:textId="77777777" w:rsidR="00063CE6" w:rsidRPr="003D31C0" w:rsidRDefault="00063CE6" w:rsidP="00063CE6">
            <w:pPr>
              <w:jc w:val="both"/>
              <w:rPr>
                <w:rFonts w:ascii="Arial" w:hAnsi="Arial" w:cs="Arial"/>
                <w:i/>
                <w:sz w:val="18"/>
                <w:szCs w:val="18"/>
              </w:rPr>
            </w:pPr>
            <w:r>
              <w:rPr>
                <w:rFonts w:ascii="Arial" w:hAnsi="Arial" w:cs="Arial"/>
                <w:b/>
                <w:bCs/>
                <w:sz w:val="18"/>
                <w:szCs w:val="18"/>
              </w:rPr>
              <w:t>Intervention</w:t>
            </w:r>
            <w:r w:rsidRPr="003D31C0">
              <w:rPr>
                <w:rFonts w:ascii="Arial" w:hAnsi="Arial" w:cs="Arial"/>
                <w:b/>
                <w:bCs/>
                <w:sz w:val="18"/>
                <w:szCs w:val="18"/>
              </w:rPr>
              <w:t xml:space="preserve"> 3</w:t>
            </w:r>
            <w:r>
              <w:rPr>
                <w:rFonts w:ascii="Arial" w:hAnsi="Arial" w:cs="Arial"/>
                <w:b/>
                <w:bCs/>
                <w:sz w:val="18"/>
                <w:szCs w:val="18"/>
              </w:rPr>
              <w:t xml:space="preserve"> – Stresstesting und Plan-Szenarien</w:t>
            </w:r>
            <w:r w:rsidRPr="003D31C0">
              <w:rPr>
                <w:rFonts w:ascii="Arial" w:hAnsi="Arial" w:cs="Arial"/>
                <w:b/>
                <w:bCs/>
                <w:sz w:val="18"/>
                <w:szCs w:val="18"/>
              </w:rPr>
              <w:t>:</w:t>
            </w:r>
          </w:p>
        </w:tc>
      </w:tr>
      <w:tr w:rsidR="00063CE6" w:rsidRPr="009872F3" w14:paraId="1C542273" w14:textId="77777777" w:rsidTr="0099798B">
        <w:tc>
          <w:tcPr>
            <w:tcW w:w="7076" w:type="dxa"/>
            <w:gridSpan w:val="3"/>
          </w:tcPr>
          <w:p w14:paraId="20AE5500" w14:textId="62212D1D"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sicherstellen, dass das Stresstesting hinsichtlich Art, Umfang und Komplexität der Geschäftstätigkeit der </w:t>
            </w:r>
            <w:r w:rsidR="0008336D" w:rsidRPr="00BF6946">
              <w:rPr>
                <w:rFonts w:ascii="Arial" w:hAnsi="Arial" w:cs="Arial"/>
                <w:sz w:val="18"/>
                <w:szCs w:val="18"/>
              </w:rPr>
              <w:t>Bank bzw. der Gruppe</w:t>
            </w:r>
            <w:r w:rsidR="0008336D" w:rsidDel="0008336D">
              <w:rPr>
                <w:rFonts w:ascii="Arial" w:hAnsi="Arial" w:cs="Arial"/>
                <w:sz w:val="18"/>
                <w:szCs w:val="18"/>
              </w:rPr>
              <w:t xml:space="preserve"> </w:t>
            </w:r>
            <w:r>
              <w:rPr>
                <w:rFonts w:ascii="Arial" w:hAnsi="Arial" w:cs="Arial"/>
                <w:sz w:val="18"/>
                <w:szCs w:val="18"/>
              </w:rPr>
              <w:t>angemessen (inkl. Schweregrad der Szenarien) und vollständig ist.</w:t>
            </w:r>
          </w:p>
        </w:tc>
        <w:tc>
          <w:tcPr>
            <w:tcW w:w="2138" w:type="dxa"/>
          </w:tcPr>
          <w:p w14:paraId="5AFFA46F" w14:textId="0FD822C5" w:rsidR="00063CE6" w:rsidRPr="00F246D4" w:rsidRDefault="0047398B" w:rsidP="00063CE6">
            <w:pPr>
              <w:jc w:val="both"/>
              <w:rPr>
                <w:rFonts w:ascii="Arial" w:hAnsi="Arial"/>
                <w:i/>
                <w:sz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7FCCCDE4" w14:textId="77777777" w:rsidTr="0099798B">
        <w:tc>
          <w:tcPr>
            <w:tcW w:w="7076" w:type="dxa"/>
            <w:gridSpan w:val="3"/>
          </w:tcPr>
          <w:p w14:paraId="62BA4D5F" w14:textId="77777777" w:rsidR="00063CE6" w:rsidRDefault="00063CE6" w:rsidP="00063CE6">
            <w:pPr>
              <w:jc w:val="both"/>
              <w:rPr>
                <w:rFonts w:ascii="Arial" w:hAnsi="Arial" w:cs="Arial"/>
                <w:sz w:val="18"/>
                <w:szCs w:val="18"/>
              </w:rPr>
            </w:pPr>
            <w:r w:rsidRPr="2F0DC2E5">
              <w:rPr>
                <w:rFonts w:ascii="Arial" w:hAnsi="Arial" w:cs="Arial"/>
                <w:sz w:val="18"/>
                <w:szCs w:val="18"/>
              </w:rPr>
              <w:t>Bestätigung, dass die internen Verfahren sicherstellen, dass angemessene nachvollziehbare Sensitivitätsanalysen und Szenarioanalysen sowie inverse Stresstests und inverse Stresstest-Szenarien im Stresstest-</w:t>
            </w:r>
            <w:r>
              <w:rPr>
                <w:rFonts w:ascii="Arial" w:hAnsi="Arial" w:cs="Arial"/>
                <w:sz w:val="18"/>
                <w:szCs w:val="18"/>
              </w:rPr>
              <w:t>Programm</w:t>
            </w:r>
            <w:r w:rsidRPr="2F0DC2E5">
              <w:rPr>
                <w:rFonts w:ascii="Arial" w:hAnsi="Arial" w:cs="Arial"/>
                <w:sz w:val="18"/>
                <w:szCs w:val="18"/>
              </w:rPr>
              <w:t xml:space="preserve"> berücksichtigt und effektiv angewandt werden</w:t>
            </w:r>
            <w:r>
              <w:rPr>
                <w:rFonts w:ascii="Arial" w:hAnsi="Arial" w:cs="Arial"/>
                <w:sz w:val="18"/>
                <w:szCs w:val="18"/>
              </w:rPr>
              <w:t>.</w:t>
            </w:r>
          </w:p>
        </w:tc>
        <w:tc>
          <w:tcPr>
            <w:tcW w:w="2138" w:type="dxa"/>
          </w:tcPr>
          <w:p w14:paraId="20372D2D" w14:textId="1BD073E1" w:rsidR="00063CE6" w:rsidRPr="003D31C0"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AC6C1FA" w14:textId="77777777" w:rsidTr="0099798B">
        <w:tc>
          <w:tcPr>
            <w:tcW w:w="7076" w:type="dxa"/>
            <w:gridSpan w:val="3"/>
          </w:tcPr>
          <w:p w14:paraId="6F03AD05" w14:textId="77777777" w:rsidR="00063CE6" w:rsidRPr="00DB5FF8" w:rsidRDefault="00063CE6" w:rsidP="00063CE6">
            <w:pPr>
              <w:jc w:val="both"/>
              <w:rPr>
                <w:rFonts w:ascii="Arial" w:hAnsi="Arial" w:cs="Arial"/>
                <w:sz w:val="18"/>
                <w:szCs w:val="18"/>
              </w:rPr>
            </w:pPr>
            <w:r w:rsidRPr="00DB5FF8">
              <w:rPr>
                <w:rFonts w:ascii="Arial" w:hAnsi="Arial" w:cs="Arial"/>
                <w:sz w:val="18"/>
                <w:szCs w:val="18"/>
              </w:rPr>
              <w:t xml:space="preserve">Bestätigung, dass ein angemessener Planungshorizont für die regulatorische Perspektive (mind. drei Jahre Planungshorizont) und für die ökonomische Perspektive (mind. ein Jahr Planungshorizont) besteht und ein Abgleich zwischen Budget-, Kapital- und Risikoplanung getätigt wird.  </w:t>
            </w:r>
          </w:p>
        </w:tc>
        <w:tc>
          <w:tcPr>
            <w:tcW w:w="2138" w:type="dxa"/>
          </w:tcPr>
          <w:p w14:paraId="7B118921" w14:textId="1732A2F2" w:rsidR="00063CE6" w:rsidRPr="00C96F57" w:rsidRDefault="0047398B" w:rsidP="00063CE6">
            <w:pPr>
              <w:jc w:val="both"/>
              <w:rPr>
                <w:rFonts w:ascii="Arial" w:hAnsi="Arial" w:cs="Arial"/>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bookmarkEnd w:id="73"/>
    </w:tbl>
    <w:p w14:paraId="281CF9EA" w14:textId="77777777" w:rsidR="00063CE6" w:rsidRDefault="00063CE6" w:rsidP="00E94778">
      <w:pPr>
        <w:jc w:val="both"/>
        <w:rPr>
          <w:rFonts w:ascii="Arial" w:hAnsi="Arial" w:cs="Arial"/>
          <w:i/>
          <w:sz w:val="20"/>
          <w:szCs w:val="20"/>
          <w:highlight w:val="yellow"/>
        </w:rPr>
      </w:pPr>
    </w:p>
    <w:tbl>
      <w:tblPr>
        <w:tblStyle w:val="Tabellenraster"/>
        <w:tblW w:w="0" w:type="auto"/>
        <w:tblInd w:w="-5" w:type="dxa"/>
        <w:tblLook w:val="04A0" w:firstRow="1" w:lastRow="0" w:firstColumn="1" w:lastColumn="0" w:noHBand="0" w:noVBand="1"/>
      </w:tblPr>
      <w:tblGrid>
        <w:gridCol w:w="1197"/>
        <w:gridCol w:w="2244"/>
        <w:gridCol w:w="5773"/>
      </w:tblGrid>
      <w:tr w:rsidR="00063CE6" w:rsidRPr="00CE3194" w14:paraId="058577FC" w14:textId="77777777" w:rsidTr="0099798B">
        <w:tc>
          <w:tcPr>
            <w:tcW w:w="3441" w:type="dxa"/>
            <w:gridSpan w:val="2"/>
          </w:tcPr>
          <w:p w14:paraId="5A308873" w14:textId="77777777" w:rsidR="00063CE6" w:rsidRPr="0099798B" w:rsidRDefault="00063CE6" w:rsidP="00063CE6">
            <w:pPr>
              <w:jc w:val="both"/>
              <w:rPr>
                <w:rFonts w:ascii="Arial" w:hAnsi="Arial" w:cs="Arial"/>
                <w:b/>
                <w:i/>
                <w:sz w:val="20"/>
                <w:szCs w:val="20"/>
                <w:highlight w:val="lightGray"/>
              </w:rPr>
            </w:pPr>
            <w:bookmarkStart w:id="74" w:name="_Hlk118663860"/>
            <w:r w:rsidRPr="0099798B">
              <w:rPr>
                <w:rFonts w:ascii="Arial" w:hAnsi="Arial" w:cs="Arial"/>
                <w:b/>
                <w:i/>
                <w:sz w:val="20"/>
                <w:szCs w:val="20"/>
                <w:highlight w:val="lightGray"/>
              </w:rPr>
              <w:t xml:space="preserve">Jährliche </w:t>
            </w:r>
            <w:r w:rsidRPr="0099798B">
              <w:rPr>
                <w:rFonts w:ascii="Arial" w:hAnsi="Arial"/>
                <w:b/>
                <w:i/>
                <w:sz w:val="20"/>
                <w:highlight w:val="lightGray"/>
              </w:rPr>
              <w:t>Prüfelemente</w:t>
            </w:r>
          </w:p>
          <w:p w14:paraId="12EF8470" w14:textId="77777777" w:rsidR="00063CE6" w:rsidRPr="0099798B" w:rsidRDefault="00063CE6" w:rsidP="00063CE6">
            <w:pPr>
              <w:jc w:val="both"/>
              <w:rPr>
                <w:rFonts w:ascii="Arial" w:hAnsi="Arial"/>
                <w:b/>
                <w:i/>
                <w:sz w:val="20"/>
                <w:highlight w:val="lightGray"/>
              </w:rPr>
            </w:pPr>
          </w:p>
        </w:tc>
        <w:tc>
          <w:tcPr>
            <w:tcW w:w="5773" w:type="dxa"/>
          </w:tcPr>
          <w:p w14:paraId="09B87C4E" w14:textId="77777777" w:rsidR="00063CE6" w:rsidRPr="0099798B" w:rsidRDefault="00063CE6" w:rsidP="00063CE6">
            <w:pPr>
              <w:jc w:val="both"/>
              <w:rPr>
                <w:rFonts w:ascii="Arial" w:hAnsi="Arial"/>
                <w:b/>
                <w:i/>
                <w:sz w:val="20"/>
                <w:highlight w:val="lightGray"/>
              </w:rPr>
            </w:pPr>
            <w:r w:rsidRPr="0099798B">
              <w:rPr>
                <w:rFonts w:ascii="Arial" w:hAnsi="Arial"/>
                <w:b/>
                <w:i/>
                <w:sz w:val="20"/>
                <w:highlight w:val="lightGray"/>
              </w:rPr>
              <w:t>Mindestprüfinhalte</w:t>
            </w:r>
          </w:p>
        </w:tc>
      </w:tr>
      <w:tr w:rsidR="00063CE6" w:rsidRPr="00CE3194" w14:paraId="011110EB" w14:textId="77777777" w:rsidTr="0099798B">
        <w:trPr>
          <w:trHeight w:val="1369"/>
        </w:trPr>
        <w:tc>
          <w:tcPr>
            <w:tcW w:w="3441" w:type="dxa"/>
            <w:gridSpan w:val="2"/>
          </w:tcPr>
          <w:p w14:paraId="6C58A223" w14:textId="77777777" w:rsidR="00063CE6" w:rsidRPr="0099798B" w:rsidRDefault="00063CE6" w:rsidP="00063CE6">
            <w:pPr>
              <w:jc w:val="both"/>
              <w:rPr>
                <w:rFonts w:ascii="Arial" w:hAnsi="Arial"/>
                <w:i/>
                <w:sz w:val="20"/>
                <w:highlight w:val="lightGray"/>
              </w:rPr>
            </w:pPr>
            <w:r w:rsidRPr="0099798B">
              <w:rPr>
                <w:rFonts w:ascii="Arial" w:hAnsi="Arial" w:cs="Arial"/>
                <w:i/>
                <w:sz w:val="20"/>
                <w:szCs w:val="20"/>
                <w:highlight w:val="lightGray"/>
              </w:rPr>
              <w:t>Antrag Risikotragfähigkeitsrechnung an Verwaltungsrat (Existenz, Vollständigkeit, Tragfähigkeit der Risiken, Veränderungen)</w:t>
            </w:r>
          </w:p>
        </w:tc>
        <w:tc>
          <w:tcPr>
            <w:tcW w:w="5773" w:type="dxa"/>
          </w:tcPr>
          <w:p w14:paraId="1F50FD45" w14:textId="77777777" w:rsidR="00063CE6" w:rsidRPr="0099798B" w:rsidRDefault="00063CE6" w:rsidP="00063CE6">
            <w:pPr>
              <w:pStyle w:val="Listenabsatz"/>
              <w:numPr>
                <w:ilvl w:val="1"/>
                <w:numId w:val="17"/>
              </w:numPr>
              <w:ind w:left="317" w:hanging="283"/>
              <w:jc w:val="both"/>
              <w:rPr>
                <w:i/>
                <w:highlight w:val="lightGray"/>
              </w:rPr>
            </w:pPr>
            <w:r w:rsidRPr="0099798B">
              <w:rPr>
                <w:rFonts w:cs="Arial"/>
                <w:i/>
                <w:iCs/>
                <w:highlight w:val="lightGray"/>
              </w:rPr>
              <w:t xml:space="preserve">Die Kernelemente des ICAAP und somit die Methodik und Struktur zur Risikotragfähigkeitsberechnung wie </w:t>
            </w:r>
            <w:r w:rsidRPr="0099798B">
              <w:rPr>
                <w:rFonts w:cs="Arial"/>
                <w:i/>
                <w:highlight w:val="lightGray"/>
              </w:rPr>
              <w:t xml:space="preserve">Governance-Struktur, Dokumentationsanforderungen, Umfang im Hinblick auf die abgebildeten Risiken und deren Abgrenzung, Zeithorizont, wichtige Annahmen und Parameter zur Risikomessung werden jährlich erstellt und vollständig dem Verwaltungsrat zur Genehmigung eingereicht. </w:t>
            </w:r>
          </w:p>
        </w:tc>
      </w:tr>
      <w:tr w:rsidR="00063CE6" w:rsidRPr="00CE3194" w14:paraId="6632704D" w14:textId="77777777" w:rsidTr="0099798B">
        <w:tc>
          <w:tcPr>
            <w:tcW w:w="3441" w:type="dxa"/>
            <w:gridSpan w:val="2"/>
          </w:tcPr>
          <w:p w14:paraId="06C2BA7A" w14:textId="77777777" w:rsidR="00063CE6" w:rsidRPr="0099798B" w:rsidRDefault="00063CE6" w:rsidP="00063CE6">
            <w:pPr>
              <w:jc w:val="both"/>
              <w:rPr>
                <w:rFonts w:ascii="Arial" w:hAnsi="Arial"/>
                <w:i/>
                <w:sz w:val="20"/>
                <w:highlight w:val="lightGray"/>
              </w:rPr>
            </w:pPr>
            <w:r w:rsidRPr="0099798B">
              <w:rPr>
                <w:rFonts w:ascii="Arial" w:hAnsi="Arial" w:cs="Arial"/>
                <w:i/>
                <w:sz w:val="20"/>
                <w:szCs w:val="20"/>
                <w:highlight w:val="lightGray"/>
              </w:rPr>
              <w:t>Änderungen am Limitensystem</w:t>
            </w:r>
          </w:p>
        </w:tc>
        <w:tc>
          <w:tcPr>
            <w:tcW w:w="5773" w:type="dxa"/>
          </w:tcPr>
          <w:p w14:paraId="77788926" w14:textId="77777777" w:rsidR="00063CE6" w:rsidRPr="0099798B" w:rsidRDefault="00063CE6" w:rsidP="00063CE6">
            <w:pPr>
              <w:pStyle w:val="Listenabsatz"/>
              <w:numPr>
                <w:ilvl w:val="1"/>
                <w:numId w:val="17"/>
              </w:numPr>
              <w:ind w:left="317" w:hanging="283"/>
              <w:jc w:val="both"/>
              <w:rPr>
                <w:i/>
                <w:highlight w:val="lightGray"/>
              </w:rPr>
            </w:pPr>
            <w:r w:rsidRPr="0099798B">
              <w:rPr>
                <w:rFonts w:cs="Arial"/>
                <w:i/>
                <w:highlight w:val="lightGray"/>
              </w:rPr>
              <w:t>Genehmigung der Limitenänderungen aller Risikoarten durch den Verwaltungsrat (Überprüfung des Limitensystems mindestens einmal jährlich).</w:t>
            </w:r>
            <w:r w:rsidRPr="0099798B">
              <w:rPr>
                <w:rFonts w:cs="Arial"/>
                <w:i/>
                <w:iCs/>
                <w:highlight w:val="lightGray"/>
              </w:rPr>
              <w:t xml:space="preserve"> </w:t>
            </w:r>
          </w:p>
        </w:tc>
      </w:tr>
      <w:tr w:rsidR="00063CE6" w:rsidRPr="00CE3194" w14:paraId="40BE4970" w14:textId="77777777" w:rsidTr="0099798B">
        <w:trPr>
          <w:trHeight w:val="502"/>
        </w:trPr>
        <w:tc>
          <w:tcPr>
            <w:tcW w:w="3441" w:type="dxa"/>
            <w:gridSpan w:val="2"/>
          </w:tcPr>
          <w:p w14:paraId="380B1503" w14:textId="77777777" w:rsidR="00063CE6" w:rsidRPr="0099798B" w:rsidRDefault="00063CE6" w:rsidP="00063CE6">
            <w:pPr>
              <w:jc w:val="both"/>
              <w:rPr>
                <w:rFonts w:ascii="Arial" w:hAnsi="Arial"/>
                <w:b/>
                <w:i/>
                <w:sz w:val="20"/>
                <w:highlight w:val="lightGray"/>
              </w:rPr>
            </w:pPr>
            <w:r w:rsidRPr="0099798B">
              <w:rPr>
                <w:rFonts w:ascii="Arial" w:hAnsi="Arial" w:cs="Arial"/>
                <w:b/>
                <w:i/>
                <w:sz w:val="20"/>
                <w:szCs w:val="20"/>
                <w:highlight w:val="lightGray"/>
              </w:rPr>
              <w:t xml:space="preserve">Rotierende Prüfelemente </w:t>
            </w:r>
          </w:p>
        </w:tc>
        <w:tc>
          <w:tcPr>
            <w:tcW w:w="5773" w:type="dxa"/>
          </w:tcPr>
          <w:p w14:paraId="1C31E22B" w14:textId="77777777" w:rsidR="00063CE6" w:rsidRPr="0099798B" w:rsidRDefault="00063CE6" w:rsidP="00063CE6">
            <w:pPr>
              <w:pStyle w:val="Listenabsatz"/>
              <w:ind w:left="317"/>
              <w:jc w:val="both"/>
              <w:rPr>
                <w:b/>
                <w:i/>
                <w:highlight w:val="lightGray"/>
              </w:rPr>
            </w:pPr>
            <w:r w:rsidRPr="0099798B">
              <w:rPr>
                <w:rFonts w:cs="Arial"/>
                <w:b/>
                <w:i/>
                <w:szCs w:val="20"/>
                <w:highlight w:val="lightGray"/>
              </w:rPr>
              <w:t>Mindestprüfinhalte</w:t>
            </w:r>
          </w:p>
        </w:tc>
      </w:tr>
      <w:tr w:rsidR="00063CE6" w:rsidRPr="00CE3194" w14:paraId="57430A4C" w14:textId="77777777" w:rsidTr="0099798B">
        <w:tc>
          <w:tcPr>
            <w:tcW w:w="1197" w:type="dxa"/>
          </w:tcPr>
          <w:p w14:paraId="5F1421E8" w14:textId="77777777" w:rsidR="00063CE6" w:rsidRPr="0099798B" w:rsidRDefault="00063CE6" w:rsidP="00063CE6">
            <w:pPr>
              <w:jc w:val="both"/>
              <w:rPr>
                <w:rFonts w:ascii="Arial" w:hAnsi="Arial" w:cs="Arial"/>
                <w:i/>
                <w:sz w:val="20"/>
                <w:szCs w:val="20"/>
                <w:highlight w:val="lightGray"/>
              </w:rPr>
            </w:pPr>
            <w:r w:rsidRPr="0099798B">
              <w:rPr>
                <w:rFonts w:ascii="Arial" w:hAnsi="Arial" w:cs="Arial"/>
                <w:i/>
                <w:sz w:val="20"/>
                <w:szCs w:val="20"/>
                <w:highlight w:val="lightGray"/>
              </w:rPr>
              <w:t>Intervention 1</w:t>
            </w:r>
          </w:p>
          <w:p w14:paraId="2265A16B" w14:textId="77777777" w:rsidR="00063CE6" w:rsidRPr="0099798B" w:rsidRDefault="00063CE6" w:rsidP="00063CE6">
            <w:pPr>
              <w:jc w:val="both"/>
              <w:rPr>
                <w:rFonts w:ascii="Arial" w:hAnsi="Arial"/>
                <w:i/>
                <w:sz w:val="20"/>
                <w:highlight w:val="lightGray"/>
              </w:rPr>
            </w:pPr>
          </w:p>
        </w:tc>
        <w:tc>
          <w:tcPr>
            <w:tcW w:w="2244" w:type="dxa"/>
          </w:tcPr>
          <w:p w14:paraId="2FEE3B12" w14:textId="77777777" w:rsidR="00063CE6" w:rsidRPr="0099798B" w:rsidRDefault="00063CE6" w:rsidP="00063CE6">
            <w:pPr>
              <w:rPr>
                <w:rFonts w:ascii="Arial" w:hAnsi="Arial" w:cs="Arial"/>
                <w:i/>
                <w:sz w:val="20"/>
                <w:szCs w:val="20"/>
                <w:highlight w:val="lightGray"/>
              </w:rPr>
            </w:pPr>
            <w:r w:rsidRPr="0099798B">
              <w:rPr>
                <w:rFonts w:ascii="Arial" w:hAnsi="Arial" w:cs="Arial"/>
                <w:i/>
                <w:sz w:val="20"/>
                <w:szCs w:val="20"/>
                <w:highlight w:val="lightGray"/>
              </w:rPr>
              <w:t xml:space="preserve">Risikoprofil, Risikoaggregation (Risikotragfähigkeit und Deckungspotential) </w:t>
            </w:r>
          </w:p>
        </w:tc>
        <w:tc>
          <w:tcPr>
            <w:tcW w:w="5773" w:type="dxa"/>
          </w:tcPr>
          <w:p w14:paraId="615CFA07" w14:textId="13AF3F06"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t xml:space="preserve">Die internen Verfahren stellen die </w:t>
            </w:r>
            <w:r w:rsidRPr="0099798B">
              <w:rPr>
                <w:rFonts w:cs="Arial"/>
                <w:i/>
                <w:szCs w:val="20"/>
                <w:highlight w:val="lightGray"/>
              </w:rPr>
              <w:t xml:space="preserve">angemessene </w:t>
            </w:r>
            <w:r w:rsidRPr="0099798B">
              <w:rPr>
                <w:i/>
                <w:highlight w:val="lightGray"/>
              </w:rPr>
              <w:t xml:space="preserve">quantitative </w:t>
            </w:r>
            <w:r w:rsidRPr="0099798B">
              <w:rPr>
                <w:rFonts w:cs="Arial"/>
                <w:i/>
                <w:szCs w:val="20"/>
                <w:highlight w:val="lightGray"/>
              </w:rPr>
              <w:t xml:space="preserve">Berücksichtigung aller </w:t>
            </w:r>
            <w:r w:rsidRPr="0099798B">
              <w:rPr>
                <w:i/>
                <w:highlight w:val="lightGray"/>
              </w:rPr>
              <w:t xml:space="preserve">für </w:t>
            </w:r>
            <w:r w:rsidRPr="0099798B">
              <w:rPr>
                <w:rFonts w:cs="Arial"/>
                <w:i/>
                <w:szCs w:val="20"/>
                <w:highlight w:val="lightGray"/>
              </w:rPr>
              <w:t xml:space="preserve">das Geschäftsmodell der </w:t>
            </w:r>
            <w:r w:rsidR="0008336D" w:rsidRPr="0099798B">
              <w:rPr>
                <w:rFonts w:cs="Arial"/>
                <w:i/>
                <w:szCs w:val="20"/>
                <w:highlight w:val="lightGray"/>
              </w:rPr>
              <w:t>Bank bzw. der Gruppe</w:t>
            </w:r>
            <w:r w:rsidR="0008336D" w:rsidRPr="0099798B" w:rsidDel="0008336D">
              <w:rPr>
                <w:rFonts w:cs="Arial"/>
                <w:i/>
                <w:szCs w:val="20"/>
                <w:highlight w:val="lightGray"/>
              </w:rPr>
              <w:t xml:space="preserve"> </w:t>
            </w:r>
            <w:r w:rsidRPr="0099798B">
              <w:rPr>
                <w:i/>
                <w:highlight w:val="lightGray"/>
              </w:rPr>
              <w:t>wesentlichen Risikoarten, separat für Kapital- und Liquiditäts- und Refinanzierungsrisiken, sicher</w:t>
            </w:r>
            <w:r w:rsidRPr="0099798B">
              <w:rPr>
                <w:rFonts w:cs="Arial"/>
                <w:i/>
                <w:szCs w:val="20"/>
                <w:highlight w:val="lightGray"/>
              </w:rPr>
              <w:t>.</w:t>
            </w:r>
          </w:p>
          <w:p w14:paraId="151040F1" w14:textId="45117743" w:rsidR="00883BD5" w:rsidRPr="0099798B" w:rsidRDefault="00883BD5" w:rsidP="00063CE6">
            <w:pPr>
              <w:pStyle w:val="Listenabsatz"/>
              <w:numPr>
                <w:ilvl w:val="1"/>
                <w:numId w:val="17"/>
              </w:numPr>
              <w:ind w:left="317" w:hanging="283"/>
              <w:jc w:val="both"/>
              <w:rPr>
                <w:i/>
                <w:highlight w:val="lightGray"/>
              </w:rPr>
            </w:pPr>
            <w:r w:rsidRPr="0099798B">
              <w:rPr>
                <w:i/>
                <w:highlight w:val="lightGray"/>
              </w:rPr>
              <w:t xml:space="preserve">Die internen Verfahren stellen die angemessene Berücksichtigung von ESG-Risikofaktoren sicher. </w:t>
            </w:r>
          </w:p>
          <w:p w14:paraId="46F0CC3D" w14:textId="7777777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lastRenderedPageBreak/>
              <w:t xml:space="preserve">Die internen Verfahren stellen die </w:t>
            </w:r>
            <w:r w:rsidRPr="0099798B">
              <w:rPr>
                <w:rFonts w:cs="Arial"/>
                <w:i/>
                <w:szCs w:val="20"/>
                <w:highlight w:val="lightGray"/>
              </w:rPr>
              <w:t xml:space="preserve">Durchführung von quantitativen Risikotragfähigkeitsrechnungen unter </w:t>
            </w:r>
            <w:r w:rsidRPr="0099798B">
              <w:rPr>
                <w:i/>
                <w:highlight w:val="lightGray"/>
              </w:rPr>
              <w:t xml:space="preserve">Berücksichtigung </w:t>
            </w:r>
            <w:r w:rsidRPr="0099798B">
              <w:rPr>
                <w:rFonts w:cs="Arial"/>
                <w:i/>
                <w:szCs w:val="20"/>
                <w:highlight w:val="lightGray"/>
              </w:rPr>
              <w:t>der ökonomischen</w:t>
            </w:r>
            <w:r w:rsidRPr="0099798B">
              <w:rPr>
                <w:i/>
                <w:highlight w:val="lightGray"/>
              </w:rPr>
              <w:t xml:space="preserve"> und </w:t>
            </w:r>
            <w:r w:rsidRPr="0099798B">
              <w:rPr>
                <w:rFonts w:cs="Arial"/>
                <w:i/>
                <w:szCs w:val="20"/>
                <w:highlight w:val="lightGray"/>
              </w:rPr>
              <w:t xml:space="preserve">der regulatorischen </w:t>
            </w:r>
            <w:r w:rsidRPr="0099798B">
              <w:rPr>
                <w:i/>
                <w:highlight w:val="lightGray"/>
              </w:rPr>
              <w:t>ICAAP-Perspektiven sicher.</w:t>
            </w:r>
          </w:p>
          <w:p w14:paraId="1ED81701"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die Berücksichtigung von neuen Produkten/Märkten in die Risikotragfähigkeitsrechnung inkl. Simulationsplanung sicher.</w:t>
            </w:r>
          </w:p>
          <w:p w14:paraId="62F748D8"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i/>
                <w:highlight w:val="lightGray"/>
              </w:rPr>
              <w:t xml:space="preserve">Die internen Verfahren stellen die Berücksichtigung wesentlicher Korrelationen, Konzentrationen und Diversifikationsmöglichkeiten zwischen den Risikoarten </w:t>
            </w:r>
            <w:r w:rsidRPr="0099798B">
              <w:rPr>
                <w:rFonts w:cs="Arial"/>
                <w:i/>
                <w:iCs/>
                <w:highlight w:val="lightGray"/>
              </w:rPr>
              <w:t xml:space="preserve">in angemessener Weise </w:t>
            </w:r>
            <w:r w:rsidRPr="0099798B">
              <w:rPr>
                <w:i/>
                <w:highlight w:val="lightGray"/>
              </w:rPr>
              <w:t>sicher</w:t>
            </w:r>
            <w:r w:rsidRPr="0099798B">
              <w:rPr>
                <w:rFonts w:cs="Arial"/>
                <w:i/>
                <w:iCs/>
                <w:highlight w:val="lightGray"/>
              </w:rPr>
              <w:t xml:space="preserve">. </w:t>
            </w:r>
          </w:p>
          <w:p w14:paraId="43B26B3F"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die angemessene Berechnung der Risikotragfähigkeit für alle wesentlichen Risiken auf aggregierter Ebene zu einem Gesamtrisiko sicher. </w:t>
            </w:r>
          </w:p>
          <w:p w14:paraId="2EC9357E"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Das Deckungspotential steht in angemessener Höhe und Qualität zur Verfügung und gewährleistet volle Verlustabsorptionsfähigkeit.</w:t>
            </w:r>
          </w:p>
          <w:p w14:paraId="7815E1EF" w14:textId="4A191404"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gewährleisten eine angemessene Allokation des Kapitals innerhalb der </w:t>
            </w:r>
            <w:r w:rsidR="0008336D" w:rsidRPr="0099798B">
              <w:rPr>
                <w:rFonts w:cs="Arial"/>
                <w:i/>
                <w:szCs w:val="20"/>
                <w:highlight w:val="lightGray"/>
              </w:rPr>
              <w:t>Bank bzw. der Gruppe</w:t>
            </w:r>
            <w:r w:rsidRPr="0099798B">
              <w:rPr>
                <w:rFonts w:cs="Arial"/>
                <w:i/>
                <w:szCs w:val="20"/>
                <w:highlight w:val="lightGray"/>
              </w:rPr>
              <w:t xml:space="preserve">, damit diese jederzeit für die Risikodeckung verfügbar bleibt und stehen in Einklang mit der Risikotragfähigkeitsrechnung. </w:t>
            </w:r>
            <w:r w:rsidRPr="0099798B">
              <w:rPr>
                <w:i/>
                <w:highlight w:val="lightGray"/>
              </w:rPr>
              <w:t xml:space="preserve">Die ökonomische interne Perspektive ist komplementär zur </w:t>
            </w:r>
            <w:r w:rsidRPr="0099798B">
              <w:rPr>
                <w:rFonts w:cs="Arial"/>
                <w:i/>
                <w:szCs w:val="20"/>
                <w:highlight w:val="lightGray"/>
              </w:rPr>
              <w:t>normativen internen Perspektive.</w:t>
            </w:r>
          </w:p>
          <w:p w14:paraId="7A8992BE" w14:textId="77777777" w:rsidR="00063CE6" w:rsidRPr="0099798B" w:rsidRDefault="00063CE6" w:rsidP="00063CE6">
            <w:pPr>
              <w:pStyle w:val="Listenabsatz"/>
              <w:numPr>
                <w:ilvl w:val="1"/>
                <w:numId w:val="17"/>
              </w:numPr>
              <w:ind w:left="317" w:hanging="283"/>
              <w:jc w:val="both"/>
              <w:rPr>
                <w:i/>
                <w:highlight w:val="lightGray"/>
              </w:rPr>
            </w:pPr>
            <w:r w:rsidRPr="0099798B">
              <w:rPr>
                <w:rFonts w:cs="Arial"/>
                <w:i/>
                <w:szCs w:val="20"/>
                <w:highlight w:val="lightGray"/>
              </w:rPr>
              <w:t xml:space="preserve">Die internen Verfahren stellen sicher, dass der Risikoappetit der Risikotragfähigkeitsberechnung sowohl in der ökonomischen als auch der regulatorischen Perspektive die Risikodeckungsmasse nicht übersteigt.  </w:t>
            </w:r>
          </w:p>
          <w:p w14:paraId="0ACF8C39" w14:textId="3F21ACA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t xml:space="preserve">Die internen Verfahren </w:t>
            </w:r>
            <w:r w:rsidRPr="0099798B">
              <w:rPr>
                <w:rFonts w:cs="Arial"/>
                <w:i/>
                <w:szCs w:val="20"/>
                <w:highlight w:val="lightGray"/>
              </w:rPr>
              <w:t xml:space="preserve">stellen sicher, dass die Risikodeckungsmasse sowohl unter realistischen als auch unter gewissen (nicht adversen) Stressbedingungen nicht überschritten werden kann. Die </w:t>
            </w:r>
            <w:r w:rsidR="0008336D" w:rsidRPr="0099798B">
              <w:rPr>
                <w:rFonts w:cs="Arial"/>
                <w:i/>
                <w:szCs w:val="20"/>
                <w:highlight w:val="lightGray"/>
              </w:rPr>
              <w:t>Bank bzw. die Gruppe</w:t>
            </w:r>
            <w:r w:rsidRPr="0099798B">
              <w:rPr>
                <w:rFonts w:cs="Arial"/>
                <w:i/>
                <w:szCs w:val="20"/>
                <w:highlight w:val="lightGray"/>
              </w:rPr>
              <w:t xml:space="preserve"> zeigt den Zusammenhang zwischen ICAAP Stress-Szenarien und Limitensystem auf.</w:t>
            </w:r>
          </w:p>
        </w:tc>
      </w:tr>
      <w:tr w:rsidR="00063CE6" w:rsidRPr="00C96F57" w14:paraId="2D0AA091" w14:textId="77777777" w:rsidTr="0099798B">
        <w:tc>
          <w:tcPr>
            <w:tcW w:w="1197" w:type="dxa"/>
          </w:tcPr>
          <w:p w14:paraId="41EEEA2A" w14:textId="77777777" w:rsidR="00063CE6" w:rsidRPr="0099798B" w:rsidRDefault="00063CE6" w:rsidP="00063CE6">
            <w:pPr>
              <w:jc w:val="both"/>
              <w:rPr>
                <w:rFonts w:ascii="Arial" w:hAnsi="Arial"/>
                <w:i/>
                <w:sz w:val="20"/>
                <w:highlight w:val="lightGray"/>
              </w:rPr>
            </w:pPr>
            <w:r w:rsidRPr="0099798B">
              <w:rPr>
                <w:rFonts w:ascii="Arial" w:hAnsi="Arial" w:cs="Arial"/>
                <w:i/>
                <w:sz w:val="20"/>
                <w:szCs w:val="20"/>
                <w:highlight w:val="lightGray"/>
              </w:rPr>
              <w:lastRenderedPageBreak/>
              <w:t>Intervention 2</w:t>
            </w:r>
          </w:p>
        </w:tc>
        <w:tc>
          <w:tcPr>
            <w:tcW w:w="2244" w:type="dxa"/>
          </w:tcPr>
          <w:p w14:paraId="059A1DF6" w14:textId="77777777" w:rsidR="00063CE6" w:rsidRPr="0099798B" w:rsidRDefault="00063CE6" w:rsidP="00063CE6">
            <w:pPr>
              <w:rPr>
                <w:rFonts w:ascii="Arial" w:hAnsi="Arial" w:cs="Arial"/>
                <w:i/>
                <w:sz w:val="20"/>
                <w:szCs w:val="20"/>
                <w:highlight w:val="lightGray"/>
              </w:rPr>
            </w:pPr>
            <w:r w:rsidRPr="0099798B">
              <w:rPr>
                <w:rFonts w:ascii="Arial" w:hAnsi="Arial" w:cs="Arial"/>
                <w:i/>
                <w:sz w:val="20"/>
                <w:szCs w:val="20"/>
                <w:highlight w:val="lightGray"/>
              </w:rPr>
              <w:t xml:space="preserve">Governance, Limitenwesen und internes Risikoreporting   </w:t>
            </w:r>
          </w:p>
        </w:tc>
        <w:tc>
          <w:tcPr>
            <w:tcW w:w="5773" w:type="dxa"/>
          </w:tcPr>
          <w:p w14:paraId="047C0B89"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i/>
                <w:highlight w:val="lightGray"/>
              </w:rPr>
              <w:t xml:space="preserve">Die internen Verfahren </w:t>
            </w:r>
            <w:r w:rsidRPr="0099798B">
              <w:rPr>
                <w:rFonts w:cs="Arial"/>
                <w:i/>
                <w:szCs w:val="20"/>
                <w:highlight w:val="lightGray"/>
              </w:rPr>
              <w:t>stellen</w:t>
            </w:r>
            <w:r w:rsidRPr="0099798B">
              <w:rPr>
                <w:i/>
                <w:highlight w:val="lightGray"/>
              </w:rPr>
              <w:t xml:space="preserve"> eine </w:t>
            </w:r>
            <w:r w:rsidRPr="0099798B">
              <w:rPr>
                <w:rFonts w:cs="Arial"/>
                <w:i/>
                <w:szCs w:val="20"/>
                <w:highlight w:val="lightGray"/>
              </w:rPr>
              <w:t>kohärente Governance – vor allem in Bezug auf Weisungswesen, Risikoappetit, Limiten, Stresstesting (Zuständigkeiten, Rapport, Kohärenz zum Limitenwesen) und Frühwarnindikatoren sowie internes Risikoreporting (Adressanten, Periodizität) – sicher.</w:t>
            </w:r>
          </w:p>
          <w:p w14:paraId="25D33DD8"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ICAAP-bezogene Ergebnisse werden in angemessenen Zeitabständen in die interne Berichterstattung aufgenommen. Dies erfolgt mindestens jährlich.</w:t>
            </w:r>
          </w:p>
          <w:p w14:paraId="33F84E5A" w14:textId="77777777" w:rsidR="00063CE6" w:rsidRPr="0099798B" w:rsidRDefault="00063CE6" w:rsidP="00063CE6">
            <w:pPr>
              <w:pStyle w:val="Listenabsatz"/>
              <w:numPr>
                <w:ilvl w:val="1"/>
                <w:numId w:val="17"/>
              </w:numPr>
              <w:ind w:left="317" w:hanging="283"/>
              <w:jc w:val="both"/>
              <w:rPr>
                <w:i/>
                <w:highlight w:val="lightGray"/>
              </w:rPr>
            </w:pPr>
            <w:r w:rsidRPr="0099798B">
              <w:rPr>
                <w:rFonts w:cs="Arial"/>
                <w:i/>
                <w:szCs w:val="20"/>
                <w:highlight w:val="lightGray"/>
              </w:rPr>
              <w:t>Die normative interne Perspektive ist komplementär zur ökonomisch internen Perspektive. Bewertungen aus</w:t>
            </w:r>
            <w:r w:rsidRPr="0099798B">
              <w:rPr>
                <w:i/>
                <w:highlight w:val="lightGray"/>
              </w:rPr>
              <w:t xml:space="preserve"> der </w:t>
            </w:r>
            <w:r w:rsidRPr="0099798B">
              <w:rPr>
                <w:rFonts w:cs="Arial"/>
                <w:i/>
                <w:szCs w:val="20"/>
                <w:highlight w:val="lightGray"/>
              </w:rPr>
              <w:t>ökonomischen internen Perspektive fliessen in angemessener Weise in die interne Berichterstattung, das Limitenwesen und das Risikoappetitrahmenwerk ein.</w:t>
            </w:r>
          </w:p>
          <w:p w14:paraId="57E2A617" w14:textId="7777777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t xml:space="preserve">Die internen Verfahren stellen </w:t>
            </w:r>
            <w:r w:rsidRPr="0099798B">
              <w:rPr>
                <w:rFonts w:cs="Arial"/>
                <w:i/>
                <w:szCs w:val="20"/>
                <w:highlight w:val="lightGray"/>
              </w:rPr>
              <w:t>sicher, dass das Limitensystem von</w:t>
            </w:r>
            <w:r w:rsidRPr="0099798B">
              <w:rPr>
                <w:i/>
                <w:highlight w:val="lightGray"/>
              </w:rPr>
              <w:t xml:space="preserve"> der </w:t>
            </w:r>
            <w:r w:rsidRPr="0099798B">
              <w:rPr>
                <w:rFonts w:cs="Arial"/>
                <w:i/>
                <w:szCs w:val="20"/>
                <w:highlight w:val="lightGray"/>
              </w:rPr>
              <w:t xml:space="preserve">jährlichen Risikotragfähigkeitsberechnung sämtlicher Risikoarten, die für das Geschäftsmodell wesentlich sind, abgeleitet werden. </w:t>
            </w:r>
          </w:p>
        </w:tc>
      </w:tr>
      <w:tr w:rsidR="00063CE6" w:rsidRPr="00CE3194" w14:paraId="56E45BF8" w14:textId="77777777" w:rsidTr="0099798B">
        <w:tc>
          <w:tcPr>
            <w:tcW w:w="1197" w:type="dxa"/>
          </w:tcPr>
          <w:p w14:paraId="0BBE96D9" w14:textId="77777777" w:rsidR="00063CE6" w:rsidRPr="0099798B" w:rsidRDefault="00063CE6" w:rsidP="00063CE6">
            <w:pPr>
              <w:jc w:val="both"/>
              <w:rPr>
                <w:rFonts w:ascii="Arial" w:hAnsi="Arial"/>
                <w:i/>
                <w:sz w:val="20"/>
                <w:highlight w:val="lightGray"/>
              </w:rPr>
            </w:pPr>
            <w:r w:rsidRPr="0099798B">
              <w:rPr>
                <w:rFonts w:ascii="Arial" w:hAnsi="Arial" w:cs="Arial"/>
                <w:i/>
                <w:sz w:val="20"/>
                <w:szCs w:val="20"/>
                <w:highlight w:val="lightGray"/>
              </w:rPr>
              <w:t>Intervention 3</w:t>
            </w:r>
          </w:p>
        </w:tc>
        <w:tc>
          <w:tcPr>
            <w:tcW w:w="2244" w:type="dxa"/>
          </w:tcPr>
          <w:p w14:paraId="29ADB0D7" w14:textId="77777777" w:rsidR="00063CE6" w:rsidRPr="0099798B" w:rsidRDefault="00063CE6" w:rsidP="00063CE6">
            <w:pPr>
              <w:rPr>
                <w:rFonts w:ascii="Arial" w:hAnsi="Arial" w:cs="Arial"/>
                <w:i/>
                <w:sz w:val="20"/>
                <w:szCs w:val="20"/>
                <w:highlight w:val="lightGray"/>
              </w:rPr>
            </w:pPr>
            <w:r w:rsidRPr="0099798B">
              <w:rPr>
                <w:rFonts w:ascii="Arial" w:hAnsi="Arial" w:cs="Arial"/>
                <w:i/>
                <w:sz w:val="20"/>
                <w:szCs w:val="20"/>
                <w:highlight w:val="lightGray"/>
              </w:rPr>
              <w:t>Stresstesting und Plan-Szenarien</w:t>
            </w:r>
          </w:p>
        </w:tc>
        <w:tc>
          <w:tcPr>
            <w:tcW w:w="5773" w:type="dxa"/>
          </w:tcPr>
          <w:p w14:paraId="0765EFD1"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Das Stresstesting bezieht sich auf sämtliche wesentliche Risikoarten und Geschäftsfelder sowie Gruppenentitäten.</w:t>
            </w:r>
          </w:p>
          <w:p w14:paraId="6CADD1E1" w14:textId="7777777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lastRenderedPageBreak/>
              <w:t>Die internen Verfahren stellen sicher</w:t>
            </w:r>
            <w:r w:rsidRPr="0099798B">
              <w:rPr>
                <w:rFonts w:cs="Arial"/>
                <w:i/>
                <w:szCs w:val="20"/>
                <w:highlight w:val="lightGray"/>
              </w:rPr>
              <w:t>, dass angemessene Stresstests auf einer institutsweiten Ebene resp. Gruppenebene durchgeführt werden.</w:t>
            </w:r>
          </w:p>
          <w:p w14:paraId="6359A457" w14:textId="7777777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t>Die internen Verfahren stellen sicher</w:t>
            </w:r>
            <w:r w:rsidRPr="0099798B">
              <w:rPr>
                <w:rFonts w:cs="Arial"/>
                <w:i/>
                <w:szCs w:val="20"/>
                <w:highlight w:val="lightGray"/>
              </w:rPr>
              <w:t>, dass angemessene nachvollziehbare Sensitivitätsanalysen und Szenarioanalysen im Stresstest-Programm berücksichtigt und effektiv angewandt werden.</w:t>
            </w:r>
          </w:p>
          <w:p w14:paraId="01028456" w14:textId="77777777" w:rsidR="00063CE6" w:rsidRPr="0099798B" w:rsidRDefault="00063CE6" w:rsidP="00063CE6">
            <w:pPr>
              <w:pStyle w:val="Listenabsatz"/>
              <w:numPr>
                <w:ilvl w:val="1"/>
                <w:numId w:val="17"/>
              </w:numPr>
              <w:ind w:left="317" w:hanging="283"/>
              <w:jc w:val="both"/>
              <w:rPr>
                <w:i/>
                <w:highlight w:val="lightGray"/>
              </w:rPr>
            </w:pPr>
            <w:r w:rsidRPr="0099798B">
              <w:rPr>
                <w:i/>
                <w:highlight w:val="lightGray"/>
              </w:rPr>
              <w:t xml:space="preserve">Die internen Verfahren stellen sicher, dass </w:t>
            </w:r>
            <w:r w:rsidRPr="0099798B">
              <w:rPr>
                <w:rFonts w:cs="Arial"/>
                <w:i/>
                <w:szCs w:val="20"/>
                <w:highlight w:val="lightGray"/>
              </w:rPr>
              <w:t>nachvollziehbare inverse Stresstests</w:t>
            </w:r>
            <w:r w:rsidRPr="0099798B">
              <w:rPr>
                <w:i/>
                <w:highlight w:val="lightGray"/>
              </w:rPr>
              <w:t xml:space="preserve"> </w:t>
            </w:r>
            <w:r w:rsidRPr="0099798B">
              <w:rPr>
                <w:rFonts w:cs="Arial"/>
                <w:i/>
                <w:szCs w:val="20"/>
                <w:highlight w:val="lightGray"/>
              </w:rPr>
              <w:t>in den Stresstest-Programmen berücksichtigt</w:t>
            </w:r>
            <w:r w:rsidRPr="0099798B">
              <w:rPr>
                <w:i/>
                <w:highlight w:val="lightGray"/>
              </w:rPr>
              <w:t xml:space="preserve"> und </w:t>
            </w:r>
            <w:r w:rsidRPr="0099798B">
              <w:rPr>
                <w:rFonts w:cs="Arial"/>
                <w:i/>
                <w:szCs w:val="20"/>
                <w:highlight w:val="lightGray"/>
              </w:rPr>
              <w:t>effektiv angewandt werden.</w:t>
            </w:r>
          </w:p>
          <w:p w14:paraId="589B8BD7"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i/>
                <w:highlight w:val="lightGray"/>
              </w:rPr>
              <w:t xml:space="preserve">Die internen Verfahren stellen eine regelmässige </w:t>
            </w:r>
            <w:r w:rsidRPr="0099798B">
              <w:rPr>
                <w:rFonts w:cs="Arial"/>
                <w:i/>
                <w:szCs w:val="20"/>
                <w:highlight w:val="lightGray"/>
              </w:rPr>
              <w:t>Durchführung von Stresstests (u.a. Berechnung und Simulation sämtlicher Szenarien) sicher.</w:t>
            </w:r>
          </w:p>
          <w:p w14:paraId="6250A493"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die Berücksichtigung eines angemessenen Planungshorizonts hinsichtlich der regulatorischen sowie der ökonomischen Perspektive sicher. </w:t>
            </w:r>
          </w:p>
          <w:p w14:paraId="4AC68F2B"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sicher, dass ein Abgleich zwischen Budget-, Kapital- und Risikoplanung getätigt wird. </w:t>
            </w:r>
          </w:p>
          <w:p w14:paraId="3E6F3073" w14:textId="77777777" w:rsidR="00063CE6" w:rsidRPr="0099798B" w:rsidRDefault="00063CE6" w:rsidP="00063CE6">
            <w:pPr>
              <w:pStyle w:val="Listenabsatz"/>
              <w:numPr>
                <w:ilvl w:val="1"/>
                <w:numId w:val="17"/>
              </w:numPr>
              <w:ind w:left="317" w:hanging="283"/>
              <w:jc w:val="both"/>
              <w:rPr>
                <w:rFonts w:cs="Arial"/>
                <w:i/>
                <w:szCs w:val="20"/>
                <w:highlight w:val="lightGray"/>
              </w:rPr>
            </w:pPr>
            <w:r w:rsidRPr="0099798B">
              <w:rPr>
                <w:rFonts w:cs="Arial"/>
                <w:i/>
                <w:szCs w:val="20"/>
                <w:highlight w:val="lightGray"/>
              </w:rPr>
              <w:t>Der Schweregrad der Stress-Szenarien ist angemessen und proportional zur Komplexität und Grösse des Instituts (Art, Umfang und Komplexität der betriebenen Geschäfte).</w:t>
            </w:r>
          </w:p>
          <w:p w14:paraId="4AA27EB9" w14:textId="77777777" w:rsidR="00063CE6" w:rsidRPr="0099798B" w:rsidRDefault="00063CE6" w:rsidP="00063CE6">
            <w:pPr>
              <w:pStyle w:val="Listenabsatz"/>
              <w:numPr>
                <w:ilvl w:val="1"/>
                <w:numId w:val="17"/>
              </w:numPr>
              <w:ind w:left="317" w:hanging="283"/>
              <w:jc w:val="both"/>
              <w:rPr>
                <w:i/>
                <w:highlight w:val="lightGray"/>
              </w:rPr>
            </w:pPr>
            <w:r w:rsidRPr="0099798B">
              <w:rPr>
                <w:rFonts w:cs="Arial"/>
                <w:i/>
                <w:szCs w:val="20"/>
                <w:highlight w:val="lightGray"/>
              </w:rPr>
              <w:t>Die</w:t>
            </w:r>
            <w:r w:rsidRPr="0099798B">
              <w:rPr>
                <w:i/>
                <w:highlight w:val="lightGray"/>
              </w:rPr>
              <w:t xml:space="preserve"> internen Verfahren stellen die </w:t>
            </w:r>
            <w:r w:rsidRPr="0099798B">
              <w:rPr>
                <w:rFonts w:cs="Arial"/>
                <w:i/>
                <w:szCs w:val="20"/>
                <w:highlight w:val="lightGray"/>
              </w:rPr>
              <w:t>vollständige und ordnungsgemässe Dokumentation des Stresstest-Programm für alle Arten von Stresstests sicher.</w:t>
            </w:r>
          </w:p>
        </w:tc>
      </w:tr>
      <w:bookmarkEnd w:id="74"/>
    </w:tbl>
    <w:p w14:paraId="3DC40919" w14:textId="77777777" w:rsidR="00063CE6" w:rsidRDefault="00063CE6" w:rsidP="00E94778">
      <w:pPr>
        <w:jc w:val="both"/>
        <w:rPr>
          <w:rFonts w:ascii="Arial" w:hAnsi="Arial" w:cs="Arial"/>
          <w:i/>
          <w:sz w:val="20"/>
          <w:szCs w:val="20"/>
          <w:highlight w:val="yellow"/>
        </w:rPr>
      </w:pPr>
    </w:p>
    <w:p w14:paraId="32572F57" w14:textId="7AAC4445" w:rsidR="00E94778" w:rsidRPr="00276C60" w:rsidRDefault="00E94778" w:rsidP="00E94778">
      <w:pPr>
        <w:jc w:val="both"/>
        <w:rPr>
          <w:rFonts w:ascii="Arial" w:hAnsi="Arial" w:cs="Arial"/>
          <w:i/>
          <w:sz w:val="20"/>
          <w:szCs w:val="20"/>
        </w:rPr>
      </w:pPr>
      <w:r w:rsidRPr="00276C60">
        <w:rPr>
          <w:rFonts w:ascii="Arial" w:hAnsi="Arial" w:cs="Arial"/>
          <w:i/>
          <w:sz w:val="20"/>
          <w:szCs w:val="20"/>
          <w:highlight w:val="yellow"/>
        </w:rPr>
        <w:t>Text</w:t>
      </w:r>
    </w:p>
    <w:p w14:paraId="55BFFD43" w14:textId="77777777" w:rsidR="00E94778" w:rsidRDefault="00E94778" w:rsidP="00CB3EE6">
      <w:pPr>
        <w:jc w:val="both"/>
      </w:pPr>
    </w:p>
    <w:p w14:paraId="4163D951" w14:textId="77777777" w:rsidR="00897485" w:rsidRDefault="00897485" w:rsidP="00897485">
      <w:pPr>
        <w:pStyle w:val="Listenabsatz"/>
        <w:ind w:left="792"/>
        <w:jc w:val="both"/>
      </w:pPr>
    </w:p>
    <w:p w14:paraId="2E94DA6F" w14:textId="10DADF39" w:rsidR="008C30D1" w:rsidRDefault="008C30D1" w:rsidP="006F7AB5">
      <w:pPr>
        <w:pStyle w:val="FINMAGliederungEbene2"/>
      </w:pPr>
      <w:bookmarkStart w:id="75" w:name="_Toc216425818"/>
      <w:r>
        <w:t>ILAAP</w:t>
      </w:r>
      <w:r w:rsidR="00115C45">
        <w:t xml:space="preserve"> </w:t>
      </w:r>
      <w:r w:rsidR="0003063F">
        <w:t>(ILA-1)</w:t>
      </w:r>
      <w:bookmarkEnd w:id="75"/>
    </w:p>
    <w:p w14:paraId="411B6867" w14:textId="296E0755" w:rsidR="00A64B92" w:rsidRDefault="00A64B92" w:rsidP="00CB3EE6">
      <w:pPr>
        <w:jc w:val="both"/>
        <w:rPr>
          <w:rFonts w:ascii="Arial" w:hAnsi="Arial" w:cs="Arial"/>
          <w:sz w:val="18"/>
          <w:szCs w:val="18"/>
        </w:rPr>
      </w:pPr>
    </w:p>
    <w:tbl>
      <w:tblPr>
        <w:tblStyle w:val="Tabellenraster"/>
        <w:tblW w:w="0" w:type="auto"/>
        <w:tblLook w:val="04A0" w:firstRow="1" w:lastRow="0" w:firstColumn="1" w:lastColumn="0" w:noHBand="0" w:noVBand="1"/>
      </w:tblPr>
      <w:tblGrid>
        <w:gridCol w:w="1932"/>
        <w:gridCol w:w="2145"/>
        <w:gridCol w:w="1721"/>
        <w:gridCol w:w="3382"/>
      </w:tblGrid>
      <w:tr w:rsidR="00063CE6" w:rsidRPr="009872F3" w14:paraId="005BD726" w14:textId="77777777" w:rsidTr="00063CE6">
        <w:trPr>
          <w:trHeight w:val="563"/>
        </w:trPr>
        <w:tc>
          <w:tcPr>
            <w:tcW w:w="1932" w:type="dxa"/>
          </w:tcPr>
          <w:p w14:paraId="75FFCE32"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Nettorisiko</w:t>
            </w:r>
          </w:p>
        </w:tc>
        <w:tc>
          <w:tcPr>
            <w:tcW w:w="2145" w:type="dxa"/>
          </w:tcPr>
          <w:p w14:paraId="719656D6"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F8E478E" w14:textId="77777777" w:rsidR="00063CE6" w:rsidRPr="009872F3" w:rsidRDefault="00063CE6" w:rsidP="00063CE6">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47398B" w:rsidRPr="009872F3" w14:paraId="03C089D5" w14:textId="77777777" w:rsidTr="006D41E2">
        <w:trPr>
          <w:trHeight w:val="698"/>
        </w:trPr>
        <w:tc>
          <w:tcPr>
            <w:tcW w:w="1932" w:type="dxa"/>
          </w:tcPr>
          <w:p w14:paraId="5E5987FF" w14:textId="77777777"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BC32E83" w14:textId="3B34C999" w:rsidR="0047398B" w:rsidRPr="006749F0" w:rsidRDefault="0047398B" w:rsidP="00063CE6">
            <w:pPr>
              <w:jc w:val="both"/>
              <w:rPr>
                <w:rFonts w:ascii="Arial" w:hAnsi="Arial" w:cs="Arial"/>
                <w:i/>
                <w:sz w:val="18"/>
                <w:szCs w:val="18"/>
                <w:highlight w:val="green"/>
              </w:rPr>
            </w:pPr>
            <w:r w:rsidRPr="006749F0">
              <w:rPr>
                <w:rFonts w:ascii="Arial" w:hAnsi="Arial" w:cs="Arial"/>
                <w:i/>
                <w:sz w:val="18"/>
                <w:szCs w:val="18"/>
                <w:highlight w:val="yellow"/>
              </w:rPr>
              <w:t xml:space="preserve">Detailprüfung </w:t>
            </w:r>
          </w:p>
        </w:tc>
        <w:tc>
          <w:tcPr>
            <w:tcW w:w="5103" w:type="dxa"/>
            <w:gridSpan w:val="2"/>
          </w:tcPr>
          <w:p w14:paraId="76891391" w14:textId="68EC6981" w:rsidR="0047398B" w:rsidRPr="006749F0" w:rsidRDefault="0047398B" w:rsidP="00063CE6">
            <w:pPr>
              <w:jc w:val="both"/>
              <w:rPr>
                <w:rFonts w:ascii="Arial" w:hAnsi="Arial" w:cs="Arial"/>
                <w:i/>
                <w:sz w:val="18"/>
                <w:szCs w:val="18"/>
              </w:rPr>
            </w:pPr>
            <w:r w:rsidRPr="009872F3">
              <w:rPr>
                <w:rFonts w:ascii="Arial" w:hAnsi="Arial" w:cs="Arial"/>
                <w:sz w:val="18"/>
                <w:szCs w:val="18"/>
              </w:rPr>
              <w:t>Detailprüfung</w:t>
            </w:r>
            <w:r w:rsidRPr="0047398B">
              <w:rPr>
                <w:rFonts w:ascii="Arial" w:hAnsi="Arial" w:cs="Arial"/>
                <w:sz w:val="18"/>
                <w:szCs w:val="18"/>
              </w:rPr>
              <w:t>:</w:t>
            </w:r>
            <w:r w:rsidRPr="005B66F8">
              <w:rPr>
                <w:rFonts w:ascii="Arial" w:hAnsi="Arial" w:cs="Arial"/>
                <w:sz w:val="18"/>
                <w:szCs w:val="18"/>
              </w:rPr>
              <w:t xml:space="preserve"> </w:t>
            </w:r>
            <w:r w:rsidRPr="006749F0">
              <w:rPr>
                <w:rFonts w:ascii="Arial" w:hAnsi="Arial" w:cs="Arial"/>
                <w:i/>
                <w:sz w:val="18"/>
                <w:szCs w:val="18"/>
                <w:highlight w:val="yellow"/>
              </w:rPr>
              <w:t>Jahr</w:t>
            </w:r>
          </w:p>
        </w:tc>
      </w:tr>
      <w:tr w:rsidR="00063CE6" w:rsidRPr="009872F3" w14:paraId="2D449159" w14:textId="77777777" w:rsidTr="00063CE6">
        <w:trPr>
          <w:trHeight w:val="133"/>
        </w:trPr>
        <w:tc>
          <w:tcPr>
            <w:tcW w:w="9180" w:type="dxa"/>
            <w:gridSpan w:val="4"/>
          </w:tcPr>
          <w:p w14:paraId="0C745014" w14:textId="77777777" w:rsidR="00063CE6" w:rsidRDefault="00063CE6" w:rsidP="00063CE6">
            <w:pPr>
              <w:jc w:val="both"/>
              <w:rPr>
                <w:rFonts w:ascii="Arial" w:hAnsi="Arial" w:cs="Arial"/>
                <w:sz w:val="18"/>
                <w:szCs w:val="18"/>
              </w:rPr>
            </w:pPr>
          </w:p>
          <w:p w14:paraId="6530BC5F" w14:textId="77777777" w:rsidR="00063CE6" w:rsidRPr="00F60909" w:rsidRDefault="00063CE6" w:rsidP="00063CE6">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9B76FB1" w14:textId="75127079" w:rsidR="00063CE6" w:rsidRPr="009872F3" w:rsidRDefault="00CC7F7A" w:rsidP="00063CE6">
            <w:pPr>
              <w:jc w:val="both"/>
              <w:rPr>
                <w:rFonts w:ascii="Arial" w:hAnsi="Arial" w:cs="Arial"/>
                <w:sz w:val="18"/>
                <w:szCs w:val="18"/>
              </w:rPr>
            </w:pPr>
            <w:r>
              <w:rPr>
                <w:rFonts w:ascii="Arial" w:hAnsi="Arial" w:cs="Arial"/>
                <w:sz w:val="18"/>
                <w:szCs w:val="18"/>
                <w:highlight w:val="yellow"/>
              </w:rPr>
              <w:t xml:space="preserve">Art. 79 BankG, </w:t>
            </w:r>
            <w:r w:rsidR="00063CE6" w:rsidRPr="00CB3EE6">
              <w:rPr>
                <w:rFonts w:ascii="Arial" w:hAnsi="Arial" w:cs="Arial"/>
                <w:sz w:val="18"/>
                <w:szCs w:val="18"/>
                <w:highlight w:val="yellow"/>
              </w:rPr>
              <w:t xml:space="preserve">Art. </w:t>
            </w:r>
            <w:r>
              <w:rPr>
                <w:rFonts w:ascii="Arial" w:hAnsi="Arial" w:cs="Arial"/>
                <w:sz w:val="18"/>
                <w:szCs w:val="18"/>
                <w:highlight w:val="yellow"/>
              </w:rPr>
              <w:t>16</w:t>
            </w:r>
            <w:r w:rsidR="00063CE6" w:rsidRPr="00CB3EE6">
              <w:rPr>
                <w:rFonts w:ascii="Arial" w:hAnsi="Arial" w:cs="Arial"/>
                <w:sz w:val="18"/>
                <w:szCs w:val="18"/>
                <w:highlight w:val="yellow"/>
              </w:rPr>
              <w:t xml:space="preserve"> BankV</w:t>
            </w:r>
            <w:r>
              <w:rPr>
                <w:rFonts w:ascii="Arial" w:hAnsi="Arial" w:cs="Arial"/>
                <w:sz w:val="18"/>
                <w:szCs w:val="18"/>
                <w:highlight w:val="yellow"/>
              </w:rPr>
              <w:t>, Art. 24 BankV</w:t>
            </w:r>
            <w:r w:rsidR="00063CE6" w:rsidRPr="00CB3EE6">
              <w:rPr>
                <w:rFonts w:ascii="Arial" w:hAnsi="Arial" w:cs="Arial"/>
                <w:sz w:val="18"/>
                <w:szCs w:val="18"/>
                <w:highlight w:val="yellow"/>
              </w:rPr>
              <w:t>.,</w:t>
            </w:r>
            <w:r>
              <w:rPr>
                <w:rFonts w:ascii="Arial" w:hAnsi="Arial" w:cs="Arial"/>
                <w:sz w:val="18"/>
                <w:szCs w:val="18"/>
                <w:highlight w:val="yellow"/>
              </w:rPr>
              <w:t>,</w:t>
            </w:r>
            <w:r w:rsidR="00063CE6" w:rsidRPr="00CB3EE6">
              <w:rPr>
                <w:rFonts w:ascii="Arial" w:hAnsi="Arial" w:cs="Arial"/>
                <w:sz w:val="18"/>
                <w:szCs w:val="18"/>
                <w:highlight w:val="yellow"/>
              </w:rPr>
              <w:t xml:space="preserve"> FMA-Mitteilung 2017/6</w:t>
            </w:r>
            <w:r w:rsidR="00063CE6">
              <w:rPr>
                <w:rFonts w:ascii="Arial" w:hAnsi="Arial" w:cs="Arial"/>
                <w:sz w:val="18"/>
                <w:szCs w:val="18"/>
                <w:highlight w:val="yellow"/>
              </w:rPr>
              <w:t>, EBA/GL/2018/04</w:t>
            </w:r>
          </w:p>
        </w:tc>
      </w:tr>
      <w:tr w:rsidR="00063CE6" w:rsidRPr="009872F3" w14:paraId="2ED63B74" w14:textId="77777777" w:rsidTr="00063CE6">
        <w:trPr>
          <w:trHeight w:val="294"/>
        </w:trPr>
        <w:tc>
          <w:tcPr>
            <w:tcW w:w="9180" w:type="dxa"/>
            <w:gridSpan w:val="4"/>
          </w:tcPr>
          <w:p w14:paraId="3A88D814" w14:textId="77777777" w:rsidR="00063CE6" w:rsidRPr="00481B57" w:rsidRDefault="00063CE6" w:rsidP="00063CE6">
            <w:pPr>
              <w:jc w:val="both"/>
              <w:rPr>
                <w:rFonts w:ascii="Arial" w:hAnsi="Arial" w:cs="Arial"/>
                <w:b/>
                <w:bCs/>
                <w:sz w:val="18"/>
                <w:szCs w:val="18"/>
              </w:rPr>
            </w:pPr>
            <w:r w:rsidRPr="00481B57">
              <w:rPr>
                <w:rFonts w:ascii="Arial" w:hAnsi="Arial" w:cs="Arial"/>
                <w:b/>
                <w:bCs/>
                <w:sz w:val="18"/>
                <w:szCs w:val="18"/>
              </w:rPr>
              <w:t>Jährliche Bestätigung:</w:t>
            </w:r>
          </w:p>
        </w:tc>
      </w:tr>
      <w:tr w:rsidR="00063CE6" w:rsidRPr="009872F3" w14:paraId="13D45E88" w14:textId="77777777" w:rsidTr="00063CE6">
        <w:tc>
          <w:tcPr>
            <w:tcW w:w="5798" w:type="dxa"/>
            <w:gridSpan w:val="3"/>
          </w:tcPr>
          <w:p w14:paraId="6BB38FDA" w14:textId="77777777" w:rsidR="00063CE6" w:rsidRDefault="00063CE6" w:rsidP="00063CE6">
            <w:pPr>
              <w:jc w:val="both"/>
              <w:rPr>
                <w:rFonts w:ascii="Arial" w:hAnsi="Arial" w:cs="Arial"/>
                <w:sz w:val="18"/>
                <w:szCs w:val="18"/>
              </w:rPr>
            </w:pPr>
            <w:r w:rsidRPr="00F246D4">
              <w:rPr>
                <w:rFonts w:ascii="Arial" w:hAnsi="Arial"/>
                <w:sz w:val="18"/>
              </w:rPr>
              <w:t xml:space="preserve">Bestätigung, dass </w:t>
            </w:r>
            <w:r w:rsidRPr="00F246D4">
              <w:rPr>
                <w:rFonts w:ascii="Arial" w:hAnsi="Arial" w:cs="Arial"/>
                <w:sz w:val="18"/>
                <w:szCs w:val="18"/>
              </w:rPr>
              <w:t>alle Kernelemente des</w:t>
            </w:r>
            <w:r w:rsidRPr="00F246D4">
              <w:rPr>
                <w:rFonts w:ascii="Arial" w:hAnsi="Arial"/>
                <w:sz w:val="18"/>
              </w:rPr>
              <w:t xml:space="preserve"> I</w:t>
            </w:r>
            <w:r>
              <w:rPr>
                <w:rFonts w:ascii="Arial" w:hAnsi="Arial"/>
                <w:sz w:val="18"/>
              </w:rPr>
              <w:t>L</w:t>
            </w:r>
            <w:r w:rsidRPr="00F246D4">
              <w:rPr>
                <w:rFonts w:ascii="Arial" w:hAnsi="Arial"/>
                <w:sz w:val="18"/>
              </w:rPr>
              <w:t xml:space="preserve">AAP </w:t>
            </w:r>
            <w:r w:rsidRPr="00F246D4">
              <w:rPr>
                <w:rFonts w:ascii="Arial" w:hAnsi="Arial" w:cs="Arial"/>
                <w:sz w:val="18"/>
                <w:szCs w:val="18"/>
              </w:rPr>
              <w:t>inkl. Limitenänderungen jährlich</w:t>
            </w:r>
            <w:r w:rsidRPr="00F246D4">
              <w:rPr>
                <w:rFonts w:ascii="Arial" w:hAnsi="Arial"/>
                <w:sz w:val="18"/>
              </w:rPr>
              <w:t xml:space="preserve"> und </w:t>
            </w:r>
            <w:r w:rsidRPr="00F246D4">
              <w:rPr>
                <w:rFonts w:ascii="Arial" w:hAnsi="Arial" w:cs="Arial"/>
                <w:sz w:val="18"/>
                <w:szCs w:val="18"/>
              </w:rPr>
              <w:t>vollständig erstellt und vom Verwaltungsrat genehmigt werden.</w:t>
            </w:r>
          </w:p>
        </w:tc>
        <w:tc>
          <w:tcPr>
            <w:tcW w:w="3382" w:type="dxa"/>
          </w:tcPr>
          <w:p w14:paraId="62A29FAB" w14:textId="0266F9F4" w:rsidR="00063CE6" w:rsidRPr="00E109DF" w:rsidRDefault="00063CE6" w:rsidP="00063CE6">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0047398B">
              <w:rPr>
                <w:rFonts w:ascii="Arial" w:hAnsi="Arial" w:cs="Arial"/>
                <w:i/>
                <w:sz w:val="18"/>
                <w:szCs w:val="18"/>
                <w:highlight w:val="yellow"/>
              </w:rPr>
              <w:t xml:space="preserve">) </w:t>
            </w:r>
            <w:r w:rsidRPr="00E109DF">
              <w:rPr>
                <w:rFonts w:ascii="Arial" w:hAnsi="Arial" w:cs="Arial"/>
                <w:i/>
                <w:sz w:val="18"/>
                <w:szCs w:val="18"/>
                <w:highlight w:val="yellow"/>
              </w:rPr>
              <w:t>/ Nein</w:t>
            </w:r>
          </w:p>
        </w:tc>
      </w:tr>
      <w:tr w:rsidR="00063CE6" w:rsidRPr="009872F3" w14:paraId="1540F73F" w14:textId="77777777" w:rsidTr="00063CE6">
        <w:tc>
          <w:tcPr>
            <w:tcW w:w="5798" w:type="dxa"/>
            <w:gridSpan w:val="3"/>
          </w:tcPr>
          <w:p w14:paraId="553B411A" w14:textId="77777777" w:rsidR="00063CE6" w:rsidRPr="00687BD9" w:rsidRDefault="00063CE6" w:rsidP="00063CE6">
            <w:pPr>
              <w:jc w:val="both"/>
              <w:rPr>
                <w:rFonts w:ascii="Arial" w:hAnsi="Arial" w:cs="Arial"/>
                <w:b/>
                <w:bCs/>
                <w:sz w:val="18"/>
                <w:szCs w:val="18"/>
              </w:rPr>
            </w:pPr>
            <w:r w:rsidRPr="00687BD9">
              <w:rPr>
                <w:rFonts w:ascii="Arial" w:hAnsi="Arial" w:cs="Arial"/>
                <w:b/>
                <w:bCs/>
                <w:sz w:val="18"/>
                <w:szCs w:val="18"/>
              </w:rPr>
              <w:t>Intervention 1</w:t>
            </w:r>
            <w:r>
              <w:rPr>
                <w:rFonts w:ascii="Arial" w:hAnsi="Arial" w:cs="Arial"/>
                <w:b/>
                <w:bCs/>
                <w:sz w:val="18"/>
                <w:szCs w:val="18"/>
              </w:rPr>
              <w:t xml:space="preserve">– </w:t>
            </w:r>
            <w:r w:rsidRPr="00687BD9">
              <w:rPr>
                <w:rFonts w:ascii="Arial" w:hAnsi="Arial" w:cs="Arial"/>
                <w:b/>
                <w:bCs/>
                <w:sz w:val="18"/>
                <w:szCs w:val="18"/>
              </w:rPr>
              <w:t xml:space="preserve">Risikoprofil und Risikoaggregation: </w:t>
            </w:r>
          </w:p>
        </w:tc>
        <w:tc>
          <w:tcPr>
            <w:tcW w:w="3382" w:type="dxa"/>
          </w:tcPr>
          <w:p w14:paraId="5D3D570A" w14:textId="77777777" w:rsidR="00063CE6" w:rsidRPr="00E109DF" w:rsidRDefault="00063CE6" w:rsidP="00063CE6">
            <w:pPr>
              <w:jc w:val="both"/>
              <w:rPr>
                <w:rFonts w:ascii="Arial" w:hAnsi="Arial" w:cs="Arial"/>
                <w:i/>
                <w:sz w:val="18"/>
                <w:szCs w:val="18"/>
                <w:highlight w:val="yellow"/>
              </w:rPr>
            </w:pPr>
          </w:p>
        </w:tc>
      </w:tr>
      <w:tr w:rsidR="00063CE6" w:rsidRPr="009872F3" w14:paraId="2533219E" w14:textId="77777777" w:rsidTr="00063CE6">
        <w:tc>
          <w:tcPr>
            <w:tcW w:w="5798" w:type="dxa"/>
            <w:gridSpan w:val="3"/>
          </w:tcPr>
          <w:p w14:paraId="7859F2D7" w14:textId="5F71DB73"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die angemessene quantitative Risikotragfähigkeitsrechnung für alle für das Geschäftsmodell der </w:t>
            </w:r>
            <w:r w:rsidR="006179DA" w:rsidRPr="00BF6946">
              <w:rPr>
                <w:rFonts w:ascii="Arial" w:hAnsi="Arial" w:cs="Arial"/>
                <w:sz w:val="18"/>
                <w:szCs w:val="18"/>
              </w:rPr>
              <w:t>Bank bzw. der Gruppe</w:t>
            </w:r>
            <w:r w:rsidR="006179DA" w:rsidDel="006179DA">
              <w:rPr>
                <w:rFonts w:ascii="Arial" w:hAnsi="Arial" w:cs="Arial"/>
                <w:sz w:val="18"/>
                <w:szCs w:val="18"/>
              </w:rPr>
              <w:t xml:space="preserve"> </w:t>
            </w:r>
            <w:r>
              <w:rPr>
                <w:rFonts w:ascii="Arial" w:hAnsi="Arial" w:cs="Arial"/>
                <w:sz w:val="18"/>
                <w:szCs w:val="18"/>
              </w:rPr>
              <w:t>wesentlichen Risikoarten inkl. der Berücksichtigung neuer Märkte und Produkte in der Simulationsplanung unter Berücksichtigung der ökonomischen und der regulatorischen ILAAP-Perspektiven sicherstellen.</w:t>
            </w:r>
          </w:p>
        </w:tc>
        <w:tc>
          <w:tcPr>
            <w:tcW w:w="3382" w:type="dxa"/>
          </w:tcPr>
          <w:p w14:paraId="2DC622D5" w14:textId="612AD831"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45429E2F" w14:textId="77777777" w:rsidTr="00063CE6">
        <w:tc>
          <w:tcPr>
            <w:tcW w:w="5798" w:type="dxa"/>
            <w:gridSpan w:val="3"/>
          </w:tcPr>
          <w:p w14:paraId="359D74E1" w14:textId="77777777" w:rsidR="00063CE6" w:rsidRDefault="00063CE6" w:rsidP="00063CE6">
            <w:pPr>
              <w:jc w:val="both"/>
              <w:rPr>
                <w:rFonts w:ascii="Arial" w:hAnsi="Arial" w:cs="Arial"/>
                <w:sz w:val="18"/>
                <w:szCs w:val="18"/>
              </w:rPr>
            </w:pPr>
            <w:r>
              <w:rPr>
                <w:rFonts w:ascii="Arial" w:hAnsi="Arial" w:cs="Arial"/>
                <w:sz w:val="18"/>
                <w:szCs w:val="18"/>
              </w:rPr>
              <w:t>Bestätigung, dass die internen Verfahren die Berücksichtigung wesentlicher Korrelationen, Konzentrationen und Diversifikationsmöglichkeiten zwischen den Risikoarten im Rahmen der Risikotragfähigkeitsrechnung sicherstellen und in angemessener Weise die Risiken zum Gesamtrisiko aggregiert werden.</w:t>
            </w:r>
          </w:p>
        </w:tc>
        <w:tc>
          <w:tcPr>
            <w:tcW w:w="3382" w:type="dxa"/>
          </w:tcPr>
          <w:p w14:paraId="7499A457" w14:textId="48A4D2BC"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B3EE6" w14:paraId="11DE99A9" w14:textId="77777777" w:rsidTr="00063CE6">
        <w:tc>
          <w:tcPr>
            <w:tcW w:w="5798" w:type="dxa"/>
            <w:gridSpan w:val="3"/>
          </w:tcPr>
          <w:p w14:paraId="27BB3F3A" w14:textId="77777777" w:rsidR="00063CE6" w:rsidRPr="00C3479D" w:rsidRDefault="00063CE6" w:rsidP="00063CE6">
            <w:pPr>
              <w:jc w:val="both"/>
              <w:rPr>
                <w:rFonts w:ascii="Arial" w:hAnsi="Arial" w:cs="Arial"/>
                <w:sz w:val="18"/>
                <w:szCs w:val="18"/>
              </w:rPr>
            </w:pPr>
            <w:r w:rsidRPr="00C3479D">
              <w:rPr>
                <w:rFonts w:ascii="Arial" w:hAnsi="Arial" w:cs="Arial"/>
                <w:sz w:val="18"/>
                <w:szCs w:val="18"/>
              </w:rPr>
              <w:lastRenderedPageBreak/>
              <w:t xml:space="preserve">Bestätigung, dass die internen Verfahren die </w:t>
            </w:r>
            <w:r w:rsidRPr="00CB3EE6">
              <w:rPr>
                <w:rFonts w:ascii="Arial" w:hAnsi="Arial" w:cs="Arial"/>
                <w:sz w:val="18"/>
                <w:szCs w:val="18"/>
              </w:rPr>
              <w:t>Existenz von der Counterbalancing Capacity (CBC) und dem Liquiditätspuffer in angemessener Höhe und Qualität zur jederzeitigen Liquidierung sicherstellen</w:t>
            </w:r>
            <w:r>
              <w:rPr>
                <w:rFonts w:ascii="Arial" w:hAnsi="Arial" w:cs="Arial"/>
                <w:sz w:val="18"/>
                <w:szCs w:val="18"/>
              </w:rPr>
              <w:t xml:space="preserve"> und </w:t>
            </w:r>
            <w:r w:rsidRPr="00C3479D">
              <w:rPr>
                <w:rFonts w:ascii="Arial" w:hAnsi="Arial" w:cs="Arial"/>
                <w:sz w:val="18"/>
                <w:szCs w:val="18"/>
              </w:rPr>
              <w:t>eine angemessene Allokati</w:t>
            </w:r>
            <w:r w:rsidRPr="00CB3EE6">
              <w:rPr>
                <w:rFonts w:ascii="Arial" w:hAnsi="Arial" w:cs="Arial"/>
                <w:sz w:val="18"/>
                <w:szCs w:val="18"/>
              </w:rPr>
              <w:t>on der Liquidität</w:t>
            </w:r>
            <w:r w:rsidRPr="00C3479D">
              <w:rPr>
                <w:rFonts w:ascii="Arial" w:hAnsi="Arial" w:cs="Arial"/>
                <w:sz w:val="18"/>
                <w:szCs w:val="18"/>
              </w:rPr>
              <w:t>, welche im Einklang mit der Risikotragfähigkeit</w:t>
            </w:r>
            <w:r w:rsidRPr="00CB3EE6">
              <w:rPr>
                <w:rFonts w:ascii="Arial" w:hAnsi="Arial" w:cs="Arial"/>
                <w:sz w:val="18"/>
                <w:szCs w:val="18"/>
              </w:rPr>
              <w:t>s</w:t>
            </w:r>
            <w:r w:rsidRPr="00C3479D">
              <w:rPr>
                <w:rFonts w:ascii="Arial" w:hAnsi="Arial" w:cs="Arial"/>
                <w:sz w:val="18"/>
                <w:szCs w:val="18"/>
              </w:rPr>
              <w:t>rec</w:t>
            </w:r>
            <w:r w:rsidRPr="00CB3EE6">
              <w:rPr>
                <w:rFonts w:ascii="Arial" w:hAnsi="Arial" w:cs="Arial"/>
                <w:sz w:val="18"/>
                <w:szCs w:val="18"/>
              </w:rPr>
              <w:t>h</w:t>
            </w:r>
            <w:r w:rsidRPr="00C3479D">
              <w:rPr>
                <w:rFonts w:ascii="Arial" w:hAnsi="Arial" w:cs="Arial"/>
                <w:sz w:val="18"/>
                <w:szCs w:val="18"/>
              </w:rPr>
              <w:t>nung steht, gewährleisten</w:t>
            </w:r>
            <w:r w:rsidRPr="00CB3EE6">
              <w:rPr>
                <w:rFonts w:ascii="Arial" w:hAnsi="Arial" w:cs="Arial"/>
                <w:sz w:val="18"/>
                <w:szCs w:val="18"/>
              </w:rPr>
              <w:t xml:space="preserve">. </w:t>
            </w:r>
          </w:p>
        </w:tc>
        <w:tc>
          <w:tcPr>
            <w:tcW w:w="3382" w:type="dxa"/>
          </w:tcPr>
          <w:p w14:paraId="557558DA" w14:textId="09E324EA" w:rsidR="00063CE6" w:rsidRPr="00CB3EE6" w:rsidRDefault="0047398B" w:rsidP="00063CE6">
            <w:pPr>
              <w:jc w:val="both"/>
              <w:rPr>
                <w:rFonts w:ascii="Arial" w:hAnsi="Arial" w:cs="Arial"/>
                <w:i/>
                <w:sz w:val="18"/>
                <w:szCs w:val="18"/>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479D" w14:paraId="677F623B" w14:textId="77777777" w:rsidTr="00063CE6">
        <w:tc>
          <w:tcPr>
            <w:tcW w:w="5798" w:type="dxa"/>
            <w:gridSpan w:val="3"/>
          </w:tcPr>
          <w:p w14:paraId="23B9A28A" w14:textId="77777777" w:rsidR="00063CE6" w:rsidRPr="00020E5A" w:rsidRDefault="00063CE6" w:rsidP="00063CE6">
            <w:pPr>
              <w:jc w:val="both"/>
              <w:rPr>
                <w:rFonts w:ascii="Arial" w:hAnsi="Arial" w:cs="Arial"/>
                <w:sz w:val="18"/>
                <w:szCs w:val="18"/>
              </w:rPr>
            </w:pPr>
            <w:r w:rsidRPr="00020E5A">
              <w:rPr>
                <w:rFonts w:ascii="Arial" w:hAnsi="Arial" w:cs="Arial"/>
                <w:sz w:val="18"/>
                <w:szCs w:val="18"/>
              </w:rPr>
              <w:t xml:space="preserve">Bestätigung, dass die internen Verfahren eine angemessene Stabilität und Diversifizierung der Refinanzierungsbasis sicherstellen. </w:t>
            </w:r>
          </w:p>
        </w:tc>
        <w:tc>
          <w:tcPr>
            <w:tcW w:w="3382" w:type="dxa"/>
          </w:tcPr>
          <w:p w14:paraId="239D602D" w14:textId="70369E26"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479D" w:rsidDel="00054592" w14:paraId="7AC84920" w14:textId="77777777" w:rsidTr="00063CE6">
        <w:tc>
          <w:tcPr>
            <w:tcW w:w="5798" w:type="dxa"/>
            <w:gridSpan w:val="3"/>
          </w:tcPr>
          <w:p w14:paraId="1CE86101" w14:textId="77777777" w:rsidR="00063CE6" w:rsidRPr="00020E5A" w:rsidDel="00054592" w:rsidRDefault="00063CE6" w:rsidP="00063CE6">
            <w:pPr>
              <w:jc w:val="both"/>
              <w:rPr>
                <w:rFonts w:ascii="Arial" w:hAnsi="Arial" w:cs="Arial"/>
                <w:sz w:val="18"/>
                <w:szCs w:val="18"/>
              </w:rPr>
            </w:pPr>
            <w:r w:rsidRPr="00020E5A">
              <w:rPr>
                <w:rFonts w:ascii="Arial" w:hAnsi="Arial" w:cs="Arial"/>
                <w:sz w:val="18"/>
                <w:szCs w:val="18"/>
              </w:rPr>
              <w:t xml:space="preserve">Bestätigung, dass die internen Verfahren einen Liquiditätspuffer in angemessener Höhe und angemessen diversifiziert zur Verhinderung von Währungsinkongruenzen sicherstellen und dass der Risikoappetit der Risikotragfähigkeitsberechnung sowohl in der ökonomischen als auch der regulatorischen Perspektive den Liquiditätspuffer nicht übersteigt </w:t>
            </w:r>
            <w:r w:rsidRPr="00020E5A">
              <w:rPr>
                <w:rFonts w:ascii="Arial" w:hAnsi="Arial"/>
                <w:sz w:val="18"/>
              </w:rPr>
              <w:t>und auch unter gewissen Stressszenarien nicht übersteigen kann,</w:t>
            </w:r>
            <w:r w:rsidRPr="00020E5A">
              <w:rPr>
                <w:rFonts w:ascii="Arial" w:hAnsi="Arial" w:cs="Arial"/>
                <w:sz w:val="18"/>
                <w:szCs w:val="18"/>
              </w:rPr>
              <w:t xml:space="preserve"> und eine angemessene Allokation der Liquidität gewährleistet ist</w:t>
            </w:r>
          </w:p>
        </w:tc>
        <w:tc>
          <w:tcPr>
            <w:tcW w:w="3382" w:type="dxa"/>
          </w:tcPr>
          <w:p w14:paraId="19DE289A" w14:textId="051F89D2" w:rsidR="00063CE6" w:rsidRPr="00C3479D" w:rsidDel="00054592"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C3210E" w14:paraId="2B22977F" w14:textId="77777777" w:rsidTr="00063CE6">
        <w:tc>
          <w:tcPr>
            <w:tcW w:w="5798" w:type="dxa"/>
            <w:gridSpan w:val="3"/>
          </w:tcPr>
          <w:p w14:paraId="70AA3EC4" w14:textId="77777777" w:rsidR="00063CE6" w:rsidRPr="00C3210E" w:rsidRDefault="00063CE6" w:rsidP="00063CE6">
            <w:pPr>
              <w:jc w:val="both"/>
              <w:rPr>
                <w:rFonts w:ascii="Arial" w:hAnsi="Arial" w:cs="Arial"/>
                <w:b/>
                <w:bCs/>
                <w:sz w:val="18"/>
                <w:szCs w:val="18"/>
                <w:lang w:val="en-US"/>
              </w:rPr>
            </w:pPr>
            <w:r w:rsidRPr="00C3210E">
              <w:rPr>
                <w:rFonts w:ascii="Arial" w:hAnsi="Arial" w:cs="Arial"/>
                <w:b/>
                <w:bCs/>
                <w:sz w:val="18"/>
                <w:szCs w:val="18"/>
                <w:lang w:val="en-US"/>
              </w:rPr>
              <w:t>Intervention 2</w:t>
            </w:r>
            <w:r>
              <w:rPr>
                <w:rFonts w:ascii="Arial" w:hAnsi="Arial" w:cs="Arial"/>
                <w:b/>
                <w:bCs/>
                <w:sz w:val="18"/>
                <w:szCs w:val="18"/>
                <w:lang w:val="en-US"/>
              </w:rPr>
              <w:t xml:space="preserve"> </w:t>
            </w:r>
            <w:r>
              <w:rPr>
                <w:rFonts w:ascii="Arial" w:hAnsi="Arial" w:cs="Arial"/>
                <w:b/>
                <w:bCs/>
                <w:sz w:val="18"/>
                <w:szCs w:val="18"/>
              </w:rPr>
              <w:t>–</w:t>
            </w:r>
            <w:r w:rsidRPr="00C3210E">
              <w:rPr>
                <w:rFonts w:ascii="Arial" w:hAnsi="Arial" w:cs="Arial"/>
                <w:b/>
                <w:bCs/>
                <w:sz w:val="18"/>
                <w:szCs w:val="18"/>
                <w:lang w:val="en-US"/>
              </w:rPr>
              <w:t xml:space="preserve"> Governance, Limitenwesen und internes Risikoreporting:</w:t>
            </w:r>
          </w:p>
        </w:tc>
        <w:tc>
          <w:tcPr>
            <w:tcW w:w="3382" w:type="dxa"/>
          </w:tcPr>
          <w:p w14:paraId="4E36E601" w14:textId="77777777" w:rsidR="00063CE6" w:rsidRPr="00C3210E" w:rsidRDefault="00063CE6" w:rsidP="00063CE6">
            <w:pPr>
              <w:jc w:val="both"/>
              <w:rPr>
                <w:rFonts w:ascii="Arial" w:hAnsi="Arial" w:cs="Arial"/>
                <w:i/>
                <w:sz w:val="18"/>
                <w:szCs w:val="18"/>
                <w:highlight w:val="yellow"/>
                <w:lang w:val="en-US"/>
              </w:rPr>
            </w:pPr>
          </w:p>
        </w:tc>
      </w:tr>
      <w:tr w:rsidR="00063CE6" w:rsidRPr="009872F3" w14:paraId="6AC57BC2" w14:textId="77777777" w:rsidTr="00063CE6">
        <w:tc>
          <w:tcPr>
            <w:tcW w:w="5798" w:type="dxa"/>
            <w:gridSpan w:val="3"/>
          </w:tcPr>
          <w:p w14:paraId="691AA286" w14:textId="77777777" w:rsidR="00063CE6" w:rsidRDefault="00063CE6" w:rsidP="00063CE6">
            <w:pPr>
              <w:jc w:val="both"/>
              <w:rPr>
                <w:rFonts w:ascii="Arial" w:hAnsi="Arial" w:cs="Arial"/>
                <w:sz w:val="18"/>
                <w:szCs w:val="18"/>
              </w:rPr>
            </w:pPr>
            <w:r>
              <w:rPr>
                <w:rFonts w:ascii="Arial" w:hAnsi="Arial" w:cs="Arial"/>
                <w:sz w:val="18"/>
                <w:szCs w:val="18"/>
              </w:rPr>
              <w:t xml:space="preserve">Bestätigung, dass </w:t>
            </w:r>
            <w:r w:rsidRPr="003D31C0">
              <w:rPr>
                <w:rFonts w:ascii="Arial" w:hAnsi="Arial" w:cs="Arial"/>
                <w:sz w:val="18"/>
                <w:szCs w:val="18"/>
              </w:rPr>
              <w:t>eine kohärente</w:t>
            </w:r>
            <w:r>
              <w:rPr>
                <w:rFonts w:ascii="Arial" w:hAnsi="Arial" w:cs="Arial"/>
                <w:sz w:val="18"/>
                <w:szCs w:val="18"/>
              </w:rPr>
              <w:t xml:space="preserve"> und angemessene</w:t>
            </w:r>
            <w:r w:rsidRPr="003D31C0">
              <w:rPr>
                <w:rFonts w:ascii="Arial" w:hAnsi="Arial" w:cs="Arial"/>
                <w:sz w:val="18"/>
                <w:szCs w:val="18"/>
              </w:rPr>
              <w:t xml:space="preserve"> Governance </w:t>
            </w:r>
            <w:r>
              <w:rPr>
                <w:rFonts w:ascii="Arial" w:hAnsi="Arial" w:cs="Arial"/>
                <w:sz w:val="18"/>
                <w:szCs w:val="18"/>
              </w:rPr>
              <w:t>in Bezug auf</w:t>
            </w:r>
            <w:r w:rsidRPr="003D31C0">
              <w:rPr>
                <w:rFonts w:ascii="Arial" w:hAnsi="Arial" w:cs="Arial"/>
                <w:sz w:val="18"/>
                <w:szCs w:val="18"/>
              </w:rPr>
              <w:t xml:space="preserve"> Weisungswesen, Risikoappetit, Limiten</w:t>
            </w:r>
            <w:r>
              <w:rPr>
                <w:rFonts w:ascii="Arial" w:hAnsi="Arial" w:cs="Arial"/>
                <w:sz w:val="18"/>
                <w:szCs w:val="18"/>
              </w:rPr>
              <w:t>, Stresstesting (Zuständigkeiten, Rapport, Kohärenz zum Limitenwesen)</w:t>
            </w:r>
            <w:r w:rsidRPr="003D31C0">
              <w:rPr>
                <w:rFonts w:ascii="Arial" w:hAnsi="Arial" w:cs="Arial"/>
                <w:sz w:val="18"/>
                <w:szCs w:val="18"/>
              </w:rPr>
              <w:t xml:space="preserve"> und Frühwarnindikatoren sowie interne</w:t>
            </w:r>
            <w:r>
              <w:rPr>
                <w:rFonts w:ascii="Arial" w:hAnsi="Arial" w:cs="Arial"/>
                <w:sz w:val="18"/>
                <w:szCs w:val="18"/>
              </w:rPr>
              <w:t xml:space="preserve"> Risikoberichterstattung (Adressaten, Periodizität) </w:t>
            </w:r>
            <w:r w:rsidRPr="0052531C">
              <w:rPr>
                <w:rFonts w:ascii="Arial" w:hAnsi="Arial" w:cs="Arial"/>
                <w:sz w:val="18"/>
                <w:szCs w:val="18"/>
              </w:rPr>
              <w:t>sichergestellt wird.</w:t>
            </w:r>
          </w:p>
        </w:tc>
        <w:tc>
          <w:tcPr>
            <w:tcW w:w="3382" w:type="dxa"/>
          </w:tcPr>
          <w:p w14:paraId="3DD9E225" w14:textId="007EB4BE"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9872F3" w14:paraId="64D11E58" w14:textId="77777777" w:rsidTr="00063CE6">
        <w:tc>
          <w:tcPr>
            <w:tcW w:w="5798" w:type="dxa"/>
            <w:gridSpan w:val="3"/>
          </w:tcPr>
          <w:p w14:paraId="3529A4E8" w14:textId="77777777" w:rsidR="00063CE6" w:rsidRPr="00F9743B" w:rsidRDefault="00063CE6" w:rsidP="00063CE6">
            <w:pPr>
              <w:jc w:val="both"/>
              <w:rPr>
                <w:rFonts w:ascii="Arial" w:hAnsi="Arial" w:cs="Arial"/>
                <w:sz w:val="18"/>
                <w:szCs w:val="18"/>
                <w:highlight w:val="yellow"/>
              </w:rPr>
            </w:pPr>
            <w:r>
              <w:rPr>
                <w:rFonts w:ascii="Arial" w:hAnsi="Arial" w:cs="Arial"/>
                <w:sz w:val="18"/>
                <w:szCs w:val="18"/>
              </w:rPr>
              <w:t xml:space="preserve">Bestätigung, dass die </w:t>
            </w:r>
            <w:r w:rsidRPr="00E674C6">
              <w:rPr>
                <w:rFonts w:ascii="Arial" w:hAnsi="Arial" w:cs="Arial"/>
                <w:sz w:val="18"/>
                <w:szCs w:val="18"/>
              </w:rPr>
              <w:t xml:space="preserve">Bewertungen aus der </w:t>
            </w:r>
            <w:r>
              <w:rPr>
                <w:rFonts w:ascii="Arial" w:hAnsi="Arial" w:cs="Arial"/>
                <w:sz w:val="18"/>
                <w:szCs w:val="18"/>
              </w:rPr>
              <w:t xml:space="preserve">regulatorischen Perspektive sowie aus der </w:t>
            </w:r>
            <w:r w:rsidRPr="00E674C6">
              <w:rPr>
                <w:rFonts w:ascii="Arial" w:hAnsi="Arial" w:cs="Arial"/>
                <w:sz w:val="18"/>
                <w:szCs w:val="18"/>
              </w:rPr>
              <w:t xml:space="preserve">ökonomisch internen Perspektive in die interne Berichterstattung, </w:t>
            </w:r>
            <w:r>
              <w:rPr>
                <w:rFonts w:ascii="Arial" w:hAnsi="Arial" w:cs="Arial"/>
                <w:sz w:val="18"/>
                <w:szCs w:val="18"/>
              </w:rPr>
              <w:t xml:space="preserve">das </w:t>
            </w:r>
            <w:r w:rsidRPr="00E674C6">
              <w:rPr>
                <w:rFonts w:ascii="Arial" w:hAnsi="Arial" w:cs="Arial"/>
                <w:sz w:val="18"/>
                <w:szCs w:val="18"/>
              </w:rPr>
              <w:t xml:space="preserve">Limitenwesen und </w:t>
            </w:r>
            <w:r>
              <w:rPr>
                <w:rFonts w:ascii="Arial" w:hAnsi="Arial" w:cs="Arial"/>
                <w:sz w:val="18"/>
                <w:szCs w:val="18"/>
              </w:rPr>
              <w:t xml:space="preserve">das </w:t>
            </w:r>
            <w:r w:rsidRPr="00E674C6">
              <w:rPr>
                <w:rFonts w:ascii="Arial" w:hAnsi="Arial" w:cs="Arial"/>
                <w:sz w:val="18"/>
                <w:szCs w:val="18"/>
              </w:rPr>
              <w:t>Risikoappetitrahmenwerk e</w:t>
            </w:r>
            <w:r>
              <w:rPr>
                <w:rFonts w:ascii="Arial" w:hAnsi="Arial" w:cs="Arial"/>
                <w:sz w:val="18"/>
                <w:szCs w:val="18"/>
              </w:rPr>
              <w:t>infliessen.</w:t>
            </w:r>
          </w:p>
        </w:tc>
        <w:tc>
          <w:tcPr>
            <w:tcW w:w="3382" w:type="dxa"/>
          </w:tcPr>
          <w:p w14:paraId="19A8339F" w14:textId="667BEF85" w:rsidR="00063CE6" w:rsidRPr="00C3479D"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481B57" w14:paraId="7EC08662" w14:textId="77777777" w:rsidTr="00063CE6">
        <w:tc>
          <w:tcPr>
            <w:tcW w:w="5798" w:type="dxa"/>
            <w:gridSpan w:val="3"/>
          </w:tcPr>
          <w:p w14:paraId="45861007" w14:textId="77777777" w:rsidR="00063CE6" w:rsidRPr="00481B57" w:rsidRDefault="00063CE6" w:rsidP="00063CE6">
            <w:pPr>
              <w:jc w:val="both"/>
              <w:rPr>
                <w:rFonts w:ascii="Arial" w:hAnsi="Arial" w:cs="Arial"/>
                <w:b/>
                <w:bCs/>
                <w:sz w:val="18"/>
                <w:szCs w:val="18"/>
              </w:rPr>
            </w:pPr>
            <w:r w:rsidRPr="00481B57">
              <w:rPr>
                <w:rFonts w:ascii="Arial" w:hAnsi="Arial" w:cs="Arial"/>
                <w:b/>
                <w:bCs/>
                <w:sz w:val="18"/>
                <w:szCs w:val="18"/>
              </w:rPr>
              <w:t>Intervention 3 – Stresstesting und Plan-Szenarien:</w:t>
            </w:r>
          </w:p>
        </w:tc>
        <w:tc>
          <w:tcPr>
            <w:tcW w:w="3382" w:type="dxa"/>
          </w:tcPr>
          <w:p w14:paraId="4321B243" w14:textId="77777777" w:rsidR="00063CE6" w:rsidRPr="00481B57" w:rsidRDefault="00063CE6" w:rsidP="00063CE6">
            <w:pPr>
              <w:jc w:val="both"/>
              <w:rPr>
                <w:rFonts w:ascii="Arial" w:hAnsi="Arial" w:cs="Arial"/>
                <w:i/>
                <w:sz w:val="18"/>
                <w:szCs w:val="18"/>
                <w:highlight w:val="yellow"/>
              </w:rPr>
            </w:pPr>
          </w:p>
        </w:tc>
      </w:tr>
      <w:tr w:rsidR="00063CE6" w:rsidRPr="00E109DF" w14:paraId="3FF31D27" w14:textId="77777777" w:rsidTr="00063CE6">
        <w:tc>
          <w:tcPr>
            <w:tcW w:w="5798" w:type="dxa"/>
            <w:gridSpan w:val="3"/>
          </w:tcPr>
          <w:p w14:paraId="3AF059D5" w14:textId="2DFCB09B" w:rsidR="00063CE6" w:rsidRDefault="00063CE6" w:rsidP="00063CE6">
            <w:pPr>
              <w:jc w:val="both"/>
              <w:rPr>
                <w:rFonts w:ascii="Arial" w:hAnsi="Arial" w:cs="Arial"/>
                <w:sz w:val="18"/>
                <w:szCs w:val="18"/>
              </w:rPr>
            </w:pPr>
            <w:r>
              <w:rPr>
                <w:rFonts w:ascii="Arial" w:hAnsi="Arial" w:cs="Arial"/>
                <w:sz w:val="18"/>
                <w:szCs w:val="18"/>
              </w:rPr>
              <w:t xml:space="preserve">Bestätigung, dass die internen Verfahren sicherstellen, dass das Stresstesting hinsichtlich Art, Umfang und Komplexität der Geschäftstätigkeit der </w:t>
            </w:r>
            <w:r w:rsidR="006179DA" w:rsidRPr="00BF6946">
              <w:rPr>
                <w:rFonts w:ascii="Arial" w:hAnsi="Arial" w:cs="Arial"/>
                <w:sz w:val="18"/>
                <w:szCs w:val="18"/>
              </w:rPr>
              <w:t>Bank bzw. der Gruppe</w:t>
            </w:r>
            <w:r w:rsidR="006179DA" w:rsidDel="006179DA">
              <w:rPr>
                <w:rFonts w:ascii="Arial" w:hAnsi="Arial" w:cs="Arial"/>
                <w:sz w:val="18"/>
                <w:szCs w:val="18"/>
              </w:rPr>
              <w:t xml:space="preserve"> </w:t>
            </w:r>
            <w:r>
              <w:rPr>
                <w:rFonts w:ascii="Arial" w:hAnsi="Arial" w:cs="Arial"/>
                <w:sz w:val="18"/>
                <w:szCs w:val="18"/>
              </w:rPr>
              <w:t>angemessen (inkl. Schweregrad der Szenarien), vollständig und konsistent ist.</w:t>
            </w:r>
          </w:p>
        </w:tc>
        <w:tc>
          <w:tcPr>
            <w:tcW w:w="3382" w:type="dxa"/>
          </w:tcPr>
          <w:p w14:paraId="31B32083" w14:textId="4DD55B99"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E109DF" w14:paraId="12DFE96A" w14:textId="77777777" w:rsidTr="00063CE6">
        <w:tc>
          <w:tcPr>
            <w:tcW w:w="5798" w:type="dxa"/>
            <w:gridSpan w:val="3"/>
          </w:tcPr>
          <w:p w14:paraId="6CB239A8" w14:textId="77777777" w:rsidR="00063CE6" w:rsidRDefault="00063CE6" w:rsidP="00063CE6">
            <w:pPr>
              <w:jc w:val="both"/>
              <w:rPr>
                <w:rFonts w:ascii="Arial" w:hAnsi="Arial" w:cs="Arial"/>
                <w:sz w:val="18"/>
                <w:szCs w:val="18"/>
              </w:rPr>
            </w:pPr>
            <w:r>
              <w:rPr>
                <w:rFonts w:ascii="Arial" w:hAnsi="Arial" w:cs="Arial"/>
                <w:sz w:val="18"/>
                <w:szCs w:val="18"/>
              </w:rPr>
              <w:t>Bestätigung, dass die</w:t>
            </w:r>
            <w:r w:rsidRPr="00103A3E">
              <w:rPr>
                <w:rFonts w:ascii="Arial" w:hAnsi="Arial" w:cs="Arial"/>
                <w:sz w:val="18"/>
                <w:szCs w:val="18"/>
              </w:rPr>
              <w:t xml:space="preserve"> internen Verfahren sicher</w:t>
            </w:r>
            <w:r>
              <w:rPr>
                <w:rFonts w:ascii="Arial" w:hAnsi="Arial" w:cs="Arial"/>
                <w:sz w:val="18"/>
                <w:szCs w:val="18"/>
              </w:rPr>
              <w:t>stellen</w:t>
            </w:r>
            <w:r w:rsidRPr="00103A3E">
              <w:rPr>
                <w:rFonts w:ascii="Arial" w:hAnsi="Arial" w:cs="Arial"/>
                <w:sz w:val="18"/>
                <w:szCs w:val="18"/>
              </w:rPr>
              <w:t xml:space="preserve">, dass angemessene </w:t>
            </w:r>
            <w:r>
              <w:rPr>
                <w:rFonts w:ascii="Arial" w:hAnsi="Arial" w:cs="Arial"/>
                <w:sz w:val="18"/>
                <w:szCs w:val="18"/>
              </w:rPr>
              <w:t xml:space="preserve">nachvollziehbare </w:t>
            </w:r>
            <w:r w:rsidRPr="00103A3E">
              <w:rPr>
                <w:rFonts w:ascii="Arial" w:hAnsi="Arial" w:cs="Arial"/>
                <w:sz w:val="18"/>
                <w:szCs w:val="18"/>
              </w:rPr>
              <w:t>Sensitivitätsanalysen und Szenarioanalysen</w:t>
            </w:r>
            <w:r>
              <w:rPr>
                <w:rFonts w:ascii="Arial" w:hAnsi="Arial" w:cs="Arial"/>
                <w:sz w:val="18"/>
                <w:szCs w:val="18"/>
              </w:rPr>
              <w:t xml:space="preserve"> sowie </w:t>
            </w:r>
            <w:r w:rsidRPr="00103A3E">
              <w:rPr>
                <w:rFonts w:ascii="Arial" w:hAnsi="Arial" w:cs="Arial"/>
                <w:sz w:val="18"/>
                <w:szCs w:val="18"/>
              </w:rPr>
              <w:t>inverse Stresstests und inverse Stresstest-Szenarien im Stresstest-Programm berücksichtigt und effektiv angewandt werden</w:t>
            </w:r>
            <w:r>
              <w:rPr>
                <w:rFonts w:ascii="Arial" w:hAnsi="Arial" w:cs="Arial"/>
                <w:sz w:val="18"/>
                <w:szCs w:val="18"/>
              </w:rPr>
              <w:t>.</w:t>
            </w:r>
          </w:p>
        </w:tc>
        <w:tc>
          <w:tcPr>
            <w:tcW w:w="3382" w:type="dxa"/>
          </w:tcPr>
          <w:p w14:paraId="0C5ACFBB" w14:textId="4EF780C6" w:rsidR="00063CE6" w:rsidRPr="00E109DF" w:rsidRDefault="0047398B" w:rsidP="00063CE6">
            <w:pPr>
              <w:jc w:val="both"/>
              <w:rPr>
                <w:rFonts w:ascii="Arial" w:hAnsi="Arial" w:cs="Arial"/>
                <w:i/>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r w:rsidR="00063CE6" w:rsidRPr="00103A3E" w14:paraId="67DD598A" w14:textId="77777777" w:rsidTr="00063CE6">
        <w:tc>
          <w:tcPr>
            <w:tcW w:w="5798" w:type="dxa"/>
            <w:gridSpan w:val="3"/>
          </w:tcPr>
          <w:p w14:paraId="330A4EFE" w14:textId="77777777" w:rsidR="00063CE6" w:rsidRDefault="00063CE6" w:rsidP="00063CE6">
            <w:pPr>
              <w:jc w:val="both"/>
              <w:rPr>
                <w:rFonts w:ascii="Arial" w:hAnsi="Arial" w:cs="Arial"/>
                <w:sz w:val="18"/>
                <w:szCs w:val="18"/>
              </w:rPr>
            </w:pPr>
            <w:r w:rsidRPr="00020E5A">
              <w:rPr>
                <w:rFonts w:ascii="Arial" w:hAnsi="Arial" w:cs="Arial"/>
                <w:sz w:val="18"/>
                <w:szCs w:val="18"/>
              </w:rPr>
              <w:t>Bestätigung, dass ein angemessener Planungshorizont für die regulatorische und ökonomische Perspektive besteht und ein Abgleich zwischen Budget-, Liquiditäts- und Risikoplanung getätigt wird.</w:t>
            </w:r>
            <w:r w:rsidRPr="00DB5FF8">
              <w:rPr>
                <w:rFonts w:ascii="Arial" w:hAnsi="Arial" w:cs="Arial"/>
                <w:sz w:val="18"/>
                <w:szCs w:val="18"/>
              </w:rPr>
              <w:t xml:space="preserve">  </w:t>
            </w:r>
          </w:p>
        </w:tc>
        <w:tc>
          <w:tcPr>
            <w:tcW w:w="3382" w:type="dxa"/>
          </w:tcPr>
          <w:p w14:paraId="2D8524B1" w14:textId="02F1CAF5" w:rsidR="00063CE6" w:rsidRPr="00103A3E" w:rsidRDefault="0047398B" w:rsidP="00063CE6">
            <w:pPr>
              <w:jc w:val="both"/>
              <w:rPr>
                <w:rFonts w:ascii="Arial" w:hAnsi="Arial" w:cs="Arial"/>
                <w:sz w:val="18"/>
                <w:szCs w:val="18"/>
                <w:highlight w:val="yellow"/>
              </w:rPr>
            </w:pPr>
            <w:r w:rsidRPr="00F246D4">
              <w:rPr>
                <w:rFonts w:ascii="Arial" w:hAnsi="Arial"/>
                <w:i/>
                <w:sz w:val="18"/>
                <w:highlight w:val="yellow"/>
              </w:rPr>
              <w:t>Ja (Detailprüfung</w:t>
            </w:r>
            <w:r>
              <w:rPr>
                <w:rFonts w:ascii="Arial" w:hAnsi="Arial"/>
                <w:i/>
                <w:sz w:val="18"/>
                <w:highlight w:val="yellow"/>
              </w:rPr>
              <w:t xml:space="preserve">) </w:t>
            </w:r>
            <w:r w:rsidRPr="00F246D4">
              <w:rPr>
                <w:rFonts w:ascii="Arial" w:hAnsi="Arial"/>
                <w:i/>
                <w:sz w:val="18"/>
                <w:highlight w:val="yellow"/>
              </w:rPr>
              <w:t>/ Nein</w:t>
            </w:r>
          </w:p>
        </w:tc>
      </w:tr>
    </w:tbl>
    <w:p w14:paraId="7D1C0039" w14:textId="31C0E8A9" w:rsidR="00063CE6" w:rsidRDefault="00063CE6" w:rsidP="00CB3EE6">
      <w:pPr>
        <w:jc w:val="both"/>
        <w:rPr>
          <w:rFonts w:ascii="Arial" w:hAnsi="Arial" w:cs="Arial"/>
          <w:sz w:val="18"/>
          <w:szCs w:val="18"/>
        </w:rPr>
      </w:pPr>
    </w:p>
    <w:tbl>
      <w:tblPr>
        <w:tblStyle w:val="Tabellenraster"/>
        <w:tblW w:w="0" w:type="auto"/>
        <w:tblLook w:val="04A0" w:firstRow="1" w:lastRow="0" w:firstColumn="1" w:lastColumn="0" w:noHBand="0" w:noVBand="1"/>
      </w:tblPr>
      <w:tblGrid>
        <w:gridCol w:w="2077"/>
        <w:gridCol w:w="2251"/>
        <w:gridCol w:w="5186"/>
      </w:tblGrid>
      <w:tr w:rsidR="005317BD" w:rsidRPr="00481B57" w14:paraId="3E39B85E" w14:textId="77777777" w:rsidTr="006D41E2">
        <w:tc>
          <w:tcPr>
            <w:tcW w:w="4328" w:type="dxa"/>
            <w:gridSpan w:val="2"/>
          </w:tcPr>
          <w:p w14:paraId="781E2021"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b/>
                <w:i/>
                <w:sz w:val="20"/>
                <w:szCs w:val="20"/>
                <w:highlight w:val="lightGray"/>
              </w:rPr>
              <w:t>Jährliche Prüfelemente</w:t>
            </w:r>
          </w:p>
          <w:p w14:paraId="36C385C1" w14:textId="77777777" w:rsidR="005317BD" w:rsidRPr="0099798B" w:rsidRDefault="005317BD" w:rsidP="006D41E2">
            <w:pPr>
              <w:jc w:val="both"/>
              <w:rPr>
                <w:rFonts w:ascii="Arial" w:hAnsi="Arial" w:cs="Arial"/>
                <w:b/>
                <w:i/>
                <w:sz w:val="20"/>
                <w:szCs w:val="20"/>
                <w:highlight w:val="lightGray"/>
              </w:rPr>
            </w:pPr>
          </w:p>
        </w:tc>
        <w:tc>
          <w:tcPr>
            <w:tcW w:w="5186" w:type="dxa"/>
          </w:tcPr>
          <w:p w14:paraId="05EF0905"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b/>
                <w:i/>
                <w:sz w:val="20"/>
                <w:szCs w:val="20"/>
                <w:highlight w:val="lightGray"/>
              </w:rPr>
              <w:t>Mindestprüfinhalte</w:t>
            </w:r>
          </w:p>
        </w:tc>
      </w:tr>
      <w:tr w:rsidR="005317BD" w14:paraId="1265BD45" w14:textId="77777777" w:rsidTr="006D41E2">
        <w:tc>
          <w:tcPr>
            <w:tcW w:w="4328" w:type="dxa"/>
            <w:gridSpan w:val="2"/>
          </w:tcPr>
          <w:p w14:paraId="4762C6CA"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i/>
                <w:sz w:val="20"/>
                <w:szCs w:val="20"/>
                <w:highlight w:val="lightGray"/>
              </w:rPr>
              <w:t>Antrag Risikotragfähigkeitsrechnung an Verwaltungsrat (Existenz, Vollständigkeit, Tragfähigkeit der Risiken, Veränderungen)</w:t>
            </w:r>
          </w:p>
        </w:tc>
        <w:tc>
          <w:tcPr>
            <w:tcW w:w="5186" w:type="dxa"/>
          </w:tcPr>
          <w:p w14:paraId="337108A7"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i/>
                <w:iCs/>
                <w:sz w:val="20"/>
                <w:szCs w:val="20"/>
                <w:highlight w:val="lightGray"/>
              </w:rPr>
              <w:t xml:space="preserve">Die Kernelemente des ILAAP und somit die Methodik und Struktur zur Risikotragfähigkeitsberechnung wie </w:t>
            </w:r>
            <w:r w:rsidRPr="0099798B">
              <w:rPr>
                <w:rFonts w:ascii="Arial" w:hAnsi="Arial" w:cs="Arial"/>
                <w:i/>
                <w:sz w:val="20"/>
                <w:szCs w:val="20"/>
                <w:highlight w:val="lightGray"/>
              </w:rPr>
              <w:t xml:space="preserve">Governance-Struktur, Dokumentationsanforderungen, Umfang im Hinblick auf die abgebildeten Risiken und deren Abgrenzung, Zeithorizont, wichtige Annahmen und Parameter zur Risikomessung) werden jährlich erstellt und vollständig dem Verwaltungsrat zur Genehmigung eingereicht. </w:t>
            </w:r>
          </w:p>
        </w:tc>
      </w:tr>
      <w:tr w:rsidR="005317BD" w14:paraId="233EB7BA" w14:textId="77777777" w:rsidTr="006D41E2">
        <w:tc>
          <w:tcPr>
            <w:tcW w:w="4328" w:type="dxa"/>
            <w:gridSpan w:val="2"/>
          </w:tcPr>
          <w:p w14:paraId="641AC84C"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i/>
                <w:sz w:val="20"/>
                <w:szCs w:val="20"/>
                <w:highlight w:val="lightGray"/>
              </w:rPr>
              <w:t>Änderungen am Limitensystem</w:t>
            </w:r>
          </w:p>
        </w:tc>
        <w:tc>
          <w:tcPr>
            <w:tcW w:w="5186" w:type="dxa"/>
          </w:tcPr>
          <w:p w14:paraId="7282E958" w14:textId="77777777" w:rsidR="005317BD" w:rsidRPr="0099798B" w:rsidRDefault="005317BD" w:rsidP="006D41E2">
            <w:pPr>
              <w:jc w:val="both"/>
              <w:rPr>
                <w:rFonts w:ascii="Arial" w:hAnsi="Arial" w:cs="Arial"/>
                <w:b/>
                <w:i/>
                <w:sz w:val="20"/>
                <w:szCs w:val="20"/>
                <w:highlight w:val="lightGray"/>
              </w:rPr>
            </w:pPr>
            <w:r w:rsidRPr="0099798B">
              <w:rPr>
                <w:rFonts w:ascii="Arial" w:hAnsi="Arial" w:cs="Arial"/>
                <w:i/>
                <w:sz w:val="20"/>
                <w:szCs w:val="20"/>
                <w:highlight w:val="lightGray"/>
              </w:rPr>
              <w:t>Genehmigung der Limitenänderungen aller Risikoarten durch den Verwaltungsrat (Überprüfung des Limitensystems mindestens einmal jährlich).</w:t>
            </w:r>
            <w:r w:rsidRPr="0099798B">
              <w:rPr>
                <w:rFonts w:ascii="Arial" w:hAnsi="Arial" w:cs="Arial"/>
                <w:i/>
                <w:iCs/>
                <w:sz w:val="20"/>
                <w:szCs w:val="20"/>
                <w:highlight w:val="lightGray"/>
              </w:rPr>
              <w:t xml:space="preserve"> </w:t>
            </w:r>
          </w:p>
        </w:tc>
      </w:tr>
      <w:tr w:rsidR="005317BD" w:rsidRPr="00837B10" w14:paraId="2C9B798E" w14:textId="77777777" w:rsidTr="006D41E2">
        <w:tc>
          <w:tcPr>
            <w:tcW w:w="4328" w:type="dxa"/>
            <w:gridSpan w:val="2"/>
          </w:tcPr>
          <w:p w14:paraId="381B1DA2" w14:textId="77777777" w:rsidR="005317BD" w:rsidRPr="0099798B" w:rsidRDefault="005317BD" w:rsidP="006D41E2">
            <w:pPr>
              <w:jc w:val="both"/>
              <w:rPr>
                <w:rFonts w:ascii="Arial" w:hAnsi="Arial" w:cs="Arial"/>
                <w:b/>
                <w:sz w:val="20"/>
                <w:szCs w:val="20"/>
                <w:highlight w:val="lightGray"/>
              </w:rPr>
            </w:pPr>
            <w:r w:rsidRPr="0099798B">
              <w:rPr>
                <w:rFonts w:ascii="Arial" w:hAnsi="Arial" w:cs="Arial"/>
                <w:b/>
                <w:sz w:val="20"/>
                <w:szCs w:val="20"/>
                <w:highlight w:val="lightGray"/>
              </w:rPr>
              <w:t>Rotierende Prüfelemente</w:t>
            </w:r>
          </w:p>
        </w:tc>
        <w:tc>
          <w:tcPr>
            <w:tcW w:w="5186" w:type="dxa"/>
          </w:tcPr>
          <w:p w14:paraId="034C9923" w14:textId="77777777" w:rsidR="005317BD" w:rsidRPr="0099798B" w:rsidRDefault="005317BD" w:rsidP="006D41E2">
            <w:pPr>
              <w:jc w:val="both"/>
              <w:rPr>
                <w:rFonts w:ascii="Arial" w:hAnsi="Arial" w:cs="Arial"/>
                <w:b/>
                <w:sz w:val="20"/>
                <w:szCs w:val="20"/>
                <w:highlight w:val="lightGray"/>
              </w:rPr>
            </w:pPr>
            <w:r w:rsidRPr="0099798B">
              <w:rPr>
                <w:rFonts w:ascii="Arial" w:hAnsi="Arial" w:cs="Arial"/>
                <w:b/>
                <w:sz w:val="20"/>
                <w:szCs w:val="20"/>
                <w:highlight w:val="lightGray"/>
              </w:rPr>
              <w:t>Mindestprüfinhalte</w:t>
            </w:r>
          </w:p>
        </w:tc>
      </w:tr>
      <w:tr w:rsidR="005317BD" w:rsidRPr="00CF5162" w14:paraId="275977BA" w14:textId="77777777" w:rsidTr="006D41E2">
        <w:tc>
          <w:tcPr>
            <w:tcW w:w="2077" w:type="dxa"/>
          </w:tcPr>
          <w:p w14:paraId="63930C03" w14:textId="77777777" w:rsidR="005317BD" w:rsidRPr="0099798B" w:rsidDel="00ED354D"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t>Intervention 1</w:t>
            </w:r>
          </w:p>
        </w:tc>
        <w:tc>
          <w:tcPr>
            <w:tcW w:w="2251" w:type="dxa"/>
          </w:tcPr>
          <w:p w14:paraId="1B40AE40" w14:textId="77777777" w:rsidR="005317BD" w:rsidRPr="0099798B"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t xml:space="preserve"> Risikoprofil, Risikoaggregation (Risikotragfähigkeit) und Counterbalancing Capacity </w:t>
            </w:r>
            <w:r w:rsidRPr="0099798B">
              <w:rPr>
                <w:rFonts w:ascii="Arial" w:hAnsi="Arial" w:cs="Arial"/>
                <w:i/>
                <w:sz w:val="20"/>
                <w:szCs w:val="20"/>
                <w:highlight w:val="lightGray"/>
              </w:rPr>
              <w:lastRenderedPageBreak/>
              <w:t>(CBC) / Liquiditätspuffer</w:t>
            </w:r>
          </w:p>
        </w:tc>
        <w:tc>
          <w:tcPr>
            <w:tcW w:w="5186" w:type="dxa"/>
          </w:tcPr>
          <w:p w14:paraId="1B699AF4" w14:textId="520FFE61"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lastRenderedPageBreak/>
              <w:t xml:space="preserve">Die internen Verfahren stellen die angemessene quantitative Berücksichtigung aller für das Geschäftsmodell der </w:t>
            </w:r>
            <w:r w:rsidR="006179DA" w:rsidRPr="0099798B">
              <w:rPr>
                <w:rFonts w:cs="Arial"/>
                <w:i/>
                <w:szCs w:val="20"/>
                <w:highlight w:val="lightGray"/>
              </w:rPr>
              <w:t>Bank bzw. der Gruppe</w:t>
            </w:r>
            <w:r w:rsidR="006179DA" w:rsidRPr="0099798B" w:rsidDel="006179DA">
              <w:rPr>
                <w:rFonts w:cs="Arial"/>
                <w:i/>
                <w:szCs w:val="20"/>
                <w:highlight w:val="lightGray"/>
              </w:rPr>
              <w:t xml:space="preserve"> </w:t>
            </w:r>
            <w:r w:rsidRPr="0099798B">
              <w:rPr>
                <w:rFonts w:cs="Arial"/>
                <w:i/>
                <w:szCs w:val="20"/>
                <w:highlight w:val="lightGray"/>
              </w:rPr>
              <w:t>wesentlichen Risikoarten, separat für Kapital- und Liquiditäts- und Refinanzierungsrisiken, sicher</w:t>
            </w:r>
          </w:p>
          <w:p w14:paraId="74DBF647" w14:textId="3ABD875B" w:rsidR="00883BD5" w:rsidRPr="0099798B" w:rsidRDefault="00883BD5" w:rsidP="00883BD5">
            <w:pPr>
              <w:pStyle w:val="Listenabsatz"/>
              <w:numPr>
                <w:ilvl w:val="1"/>
                <w:numId w:val="17"/>
              </w:numPr>
              <w:ind w:left="317" w:hanging="283"/>
              <w:jc w:val="both"/>
              <w:rPr>
                <w:i/>
                <w:highlight w:val="lightGray"/>
              </w:rPr>
            </w:pPr>
            <w:r w:rsidRPr="0099798B">
              <w:rPr>
                <w:i/>
                <w:highlight w:val="lightGray"/>
              </w:rPr>
              <w:lastRenderedPageBreak/>
              <w:t xml:space="preserve">Die internen Verfahren stellen die angemessene Berücksichtigung von ESG-Risikofaktoren sicher. </w:t>
            </w:r>
          </w:p>
          <w:p w14:paraId="40CF8988" w14:textId="77777777" w:rsidR="00883BD5" w:rsidRPr="0099798B" w:rsidRDefault="00883BD5" w:rsidP="00A938AE">
            <w:pPr>
              <w:pStyle w:val="Listenabsatz"/>
              <w:ind w:left="317"/>
              <w:jc w:val="both"/>
              <w:rPr>
                <w:rFonts w:cs="Arial"/>
                <w:i/>
                <w:szCs w:val="20"/>
                <w:highlight w:val="lightGray"/>
              </w:rPr>
            </w:pPr>
          </w:p>
          <w:p w14:paraId="3D6A43FB"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die Berücksichtigung von neuen Produkten/Märkten in die Risikotragfähigkeitsrechnung inkl. Simulationsplanung sicher.</w:t>
            </w:r>
          </w:p>
          <w:p w14:paraId="30BEB6A5"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die Berücksichtigung wesentlicher Korrelationen, Konzentrationen und Diversifikationsmöglichkeiten zwischen den Risikoarten sicher</w:t>
            </w:r>
          </w:p>
          <w:p w14:paraId="1F71B634"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die angemessene Berechnung der Risikotragfähigkeit für alle wesentlichen Risiken auf aggregierter Ebene zu einem Gesamtrisiko sicher. Die ökonomische interne Perspektive ist komplementär zur normativen internen Perspektive.</w:t>
            </w:r>
          </w:p>
          <w:p w14:paraId="6867AFB2" w14:textId="4A9EA16F"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gewährleisten eine angemessene Allokation der Liquidität innerhalb der </w:t>
            </w:r>
            <w:r w:rsidR="006179DA" w:rsidRPr="0099798B">
              <w:rPr>
                <w:rFonts w:cs="Arial"/>
                <w:i/>
                <w:szCs w:val="20"/>
                <w:highlight w:val="lightGray"/>
              </w:rPr>
              <w:t>Bank bzw. der Gruppe</w:t>
            </w:r>
            <w:r w:rsidRPr="0099798B">
              <w:rPr>
                <w:rFonts w:cs="Arial"/>
                <w:i/>
                <w:szCs w:val="20"/>
                <w:highlight w:val="lightGray"/>
              </w:rPr>
              <w:t>; diese stehen in Einklang mit der Risikotragfähigkeitsrechnung</w:t>
            </w:r>
          </w:p>
          <w:p w14:paraId="6CCC3274"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CBC und der Liquiditätspuffer sind angemessen hoch und liquide komponiert und stehen zur jederzeitigen Liquidierung zur Verfügung</w:t>
            </w:r>
          </w:p>
          <w:p w14:paraId="70B87078"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gewährleisten eine angemessene Diversifizierung des Liquiditätspuffers und der Verhinderung von übermässigen Währungsinkongruenzen und Risikokonzentrationen</w:t>
            </w:r>
          </w:p>
          <w:p w14:paraId="6EBF8DD2"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gewährleisten eine jederzeitige Unterscheidung von belasteten und unbelasteten Vermögenswerten </w:t>
            </w:r>
            <w:r w:rsidRPr="0099798B">
              <w:rPr>
                <w:i/>
                <w:highlight w:val="lightGray"/>
              </w:rPr>
              <w:t xml:space="preserve">Die internen Verfahren </w:t>
            </w:r>
            <w:r w:rsidRPr="0099798B">
              <w:rPr>
                <w:rFonts w:cs="Arial"/>
                <w:i/>
                <w:szCs w:val="20"/>
                <w:highlight w:val="lightGray"/>
              </w:rPr>
              <w:t xml:space="preserve">stellen sicher, dass der Risikoappetit der Risikotragfähigkeitsberechnung sowohl in der ökonomischen als auch der regulatorischen Perspektive den Liquiditätspuffer nicht übersteigt. </w:t>
            </w:r>
          </w:p>
          <w:p w14:paraId="45B0B696" w14:textId="42A40321"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sicher, dass der Liquiditätspuffer sowohl unter realistischen als auch unter gewissen (nicht adversen) Stressbedingungen nicht überschritten werden kann. Die </w:t>
            </w:r>
            <w:r w:rsidR="006179DA" w:rsidRPr="0099798B">
              <w:rPr>
                <w:rFonts w:cs="Arial"/>
                <w:i/>
                <w:szCs w:val="20"/>
                <w:highlight w:val="lightGray"/>
              </w:rPr>
              <w:t>Bank bzw. die Gruppe</w:t>
            </w:r>
            <w:r w:rsidRPr="0099798B">
              <w:rPr>
                <w:rFonts w:cs="Arial"/>
                <w:i/>
                <w:szCs w:val="20"/>
                <w:highlight w:val="lightGray"/>
              </w:rPr>
              <w:t xml:space="preserve"> zeigt den Zusammenhang zwischen ILAAP Stress-Szenarien und Limitensystem auf.</w:t>
            </w:r>
          </w:p>
        </w:tc>
      </w:tr>
      <w:tr w:rsidR="005317BD" w:rsidRPr="00667026" w14:paraId="12776BD8" w14:textId="77777777" w:rsidTr="006D41E2">
        <w:tc>
          <w:tcPr>
            <w:tcW w:w="2077" w:type="dxa"/>
          </w:tcPr>
          <w:p w14:paraId="2E52EF3E" w14:textId="77777777" w:rsidR="005317BD" w:rsidRPr="0099798B" w:rsidDel="00ED354D"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lastRenderedPageBreak/>
              <w:t>Intervention 2</w:t>
            </w:r>
          </w:p>
        </w:tc>
        <w:tc>
          <w:tcPr>
            <w:tcW w:w="2251" w:type="dxa"/>
          </w:tcPr>
          <w:p w14:paraId="3EB0DABE" w14:textId="77777777" w:rsidR="005317BD" w:rsidRPr="0099798B"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t>Governance, Limitenwesen und internes Risikoreporting</w:t>
            </w:r>
          </w:p>
        </w:tc>
        <w:tc>
          <w:tcPr>
            <w:tcW w:w="5186" w:type="dxa"/>
          </w:tcPr>
          <w:p w14:paraId="21C46DDD"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i/>
                <w:highlight w:val="lightGray"/>
              </w:rPr>
              <w:t xml:space="preserve">Die internen Verfahren </w:t>
            </w:r>
            <w:r w:rsidRPr="0099798B">
              <w:rPr>
                <w:rFonts w:cs="Arial"/>
                <w:i/>
                <w:szCs w:val="20"/>
                <w:highlight w:val="lightGray"/>
              </w:rPr>
              <w:t>stellen</w:t>
            </w:r>
            <w:r w:rsidRPr="0099798B">
              <w:rPr>
                <w:i/>
                <w:highlight w:val="lightGray"/>
              </w:rPr>
              <w:t xml:space="preserve"> eine </w:t>
            </w:r>
            <w:r w:rsidRPr="0099798B">
              <w:rPr>
                <w:rFonts w:cs="Arial"/>
                <w:i/>
                <w:szCs w:val="20"/>
                <w:highlight w:val="lightGray"/>
              </w:rPr>
              <w:t>kohärente Governance – vor allem in Bezug auf Weisungswesen, Risikoappetit, Limiten, Stresstesting (Zuständigkeiten, Rapport, Kohärenz zum Limitenwesen) und Frühwarnindikatoren sowie internes Risikoreporting (Adressanten, Periodizität) – sicher.</w:t>
            </w:r>
          </w:p>
          <w:p w14:paraId="07B76BAA"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ILAAP-bezogene Ergebnisse werden in angemessenen Zeitabständen in die interne Berichterstattung aufgenommen. Dies erfolgt mindestens jährlich.</w:t>
            </w:r>
          </w:p>
          <w:p w14:paraId="22AA0AF6" w14:textId="77777777" w:rsidR="005317BD" w:rsidRPr="0099798B" w:rsidRDefault="005317BD" w:rsidP="006D41E2">
            <w:pPr>
              <w:pStyle w:val="Listenabsatz"/>
              <w:numPr>
                <w:ilvl w:val="1"/>
                <w:numId w:val="17"/>
              </w:numPr>
              <w:ind w:left="317" w:hanging="283"/>
              <w:jc w:val="both"/>
              <w:rPr>
                <w:i/>
                <w:highlight w:val="lightGray"/>
              </w:rPr>
            </w:pPr>
            <w:r w:rsidRPr="0099798B">
              <w:rPr>
                <w:rFonts w:cs="Arial"/>
                <w:i/>
                <w:szCs w:val="20"/>
                <w:highlight w:val="lightGray"/>
              </w:rPr>
              <w:t>Die normative interne Perspektive ist komplementär zur ökonomisch internen Perspektive. Bewertungen aus</w:t>
            </w:r>
            <w:r w:rsidRPr="0099798B">
              <w:rPr>
                <w:i/>
                <w:highlight w:val="lightGray"/>
              </w:rPr>
              <w:t xml:space="preserve"> der </w:t>
            </w:r>
            <w:r w:rsidRPr="0099798B">
              <w:rPr>
                <w:rFonts w:cs="Arial"/>
                <w:i/>
                <w:szCs w:val="20"/>
                <w:highlight w:val="lightGray"/>
              </w:rPr>
              <w:t xml:space="preserve">ökonomischen internen Perspektive fliessen in angemessener Weise in die interne </w:t>
            </w:r>
            <w:r w:rsidRPr="0099798B">
              <w:rPr>
                <w:rFonts w:cs="Arial"/>
                <w:i/>
                <w:szCs w:val="20"/>
                <w:highlight w:val="lightGray"/>
              </w:rPr>
              <w:lastRenderedPageBreak/>
              <w:t>Berichterstattung, das Limitenwesen und das Risikoappetitrahmenwerk ein.</w:t>
            </w:r>
          </w:p>
          <w:p w14:paraId="70734DAA"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sicher, dass das Limitensystem von der jährlichen Risikotragfähigkeitsberechnung sämtlicher Risikoarten, die für das Geschäftsmodell wesentlich sind, abgeleitet werden.</w:t>
            </w:r>
          </w:p>
        </w:tc>
      </w:tr>
      <w:tr w:rsidR="005317BD" w:rsidRPr="003F2BF8" w14:paraId="744EE29F" w14:textId="77777777" w:rsidTr="006D41E2">
        <w:tc>
          <w:tcPr>
            <w:tcW w:w="2077" w:type="dxa"/>
          </w:tcPr>
          <w:p w14:paraId="0A710554" w14:textId="77777777" w:rsidR="005317BD" w:rsidRPr="0099798B" w:rsidDel="00ED354D"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lastRenderedPageBreak/>
              <w:t>Intervention 3</w:t>
            </w:r>
          </w:p>
        </w:tc>
        <w:tc>
          <w:tcPr>
            <w:tcW w:w="2251" w:type="dxa"/>
          </w:tcPr>
          <w:p w14:paraId="2CE62269" w14:textId="77777777" w:rsidR="005317BD" w:rsidRPr="0099798B" w:rsidRDefault="005317BD" w:rsidP="006D41E2">
            <w:pPr>
              <w:jc w:val="both"/>
              <w:rPr>
                <w:rFonts w:ascii="Arial" w:hAnsi="Arial" w:cs="Arial"/>
                <w:i/>
                <w:sz w:val="20"/>
                <w:szCs w:val="20"/>
                <w:highlight w:val="lightGray"/>
              </w:rPr>
            </w:pPr>
            <w:r w:rsidRPr="0099798B">
              <w:rPr>
                <w:rFonts w:ascii="Arial" w:hAnsi="Arial" w:cs="Arial"/>
                <w:i/>
                <w:sz w:val="20"/>
                <w:szCs w:val="20"/>
                <w:highlight w:val="lightGray"/>
              </w:rPr>
              <w:t>Stresstests und Plan-Szenarien</w:t>
            </w:r>
          </w:p>
        </w:tc>
        <w:tc>
          <w:tcPr>
            <w:tcW w:w="5186" w:type="dxa"/>
          </w:tcPr>
          <w:p w14:paraId="13C2E725"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Das Stresstesting bezieht sich auf sämtliche wesentliche Risikoarten und Geschäftsfelder sowie Gruppenentitäten</w:t>
            </w:r>
          </w:p>
          <w:p w14:paraId="372A377B"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sicher, dass angemessene Stresstests auf einer institutsweiten Ebene resp. Gruppenebene durchgeführt werden</w:t>
            </w:r>
          </w:p>
          <w:p w14:paraId="699F36A2"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sicher, dass angemessene nachvollziehbare Sensitivitätsanalysen und Szenarioanalysen im Stresstest-Programm berücksichtigt und effektiv angewandt werden</w:t>
            </w:r>
          </w:p>
          <w:p w14:paraId="1BFFD399"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sicher, dass nachvollziehbare inverse Stresstests in den Stresstest-Programmen berücksichtigt und effektiv angewandt werden</w:t>
            </w:r>
          </w:p>
          <w:p w14:paraId="406559E4"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eine regelmässige Durchführung von Stresstests (u.a. Berechnung und Simulation sämtlicher Szenarien) sicher</w:t>
            </w:r>
          </w:p>
          <w:p w14:paraId="0B365A58"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die Berücksichtigung eines angemessenen Planungshorizonts hinsichtlich der regulatorischen sowie der ökonomischen Perspektive sicher. </w:t>
            </w:r>
          </w:p>
          <w:p w14:paraId="3F34A5A1"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 xml:space="preserve">Die internen Verfahren stellen sicher, dass ein Abgleich zwischen Budget-, Liquiditäts- und Risikoplanung getätigt wird. </w:t>
            </w:r>
          </w:p>
          <w:p w14:paraId="61C2EC26"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Der Schweregrad der Stress-Szenarien ist angemessen und proportional zur Komplexität und Grösse des Instituts (Art, Umfang und Komplexität der betriebenen Geschäfte)</w:t>
            </w:r>
          </w:p>
          <w:p w14:paraId="0DEA65C5" w14:textId="77777777" w:rsidR="005317BD" w:rsidRPr="0099798B" w:rsidRDefault="005317BD" w:rsidP="006D41E2">
            <w:pPr>
              <w:pStyle w:val="Listenabsatz"/>
              <w:numPr>
                <w:ilvl w:val="1"/>
                <w:numId w:val="17"/>
              </w:numPr>
              <w:ind w:left="317" w:hanging="283"/>
              <w:jc w:val="both"/>
              <w:rPr>
                <w:rFonts w:cs="Arial"/>
                <w:i/>
                <w:szCs w:val="20"/>
                <w:highlight w:val="lightGray"/>
              </w:rPr>
            </w:pPr>
            <w:r w:rsidRPr="0099798B">
              <w:rPr>
                <w:rFonts w:cs="Arial"/>
                <w:i/>
                <w:szCs w:val="20"/>
                <w:highlight w:val="lightGray"/>
              </w:rPr>
              <w:t>Die internen Verfahren stellen die vollständige und ordnungsgemässe Dokumentation des Stresstest-Programm für alle Arten von Stresstests, die auf Ebene der einzelnen Risiken u/o Portfolioebene sowie auf Unternehmensebene durchgeführt werden sicher.</w:t>
            </w:r>
          </w:p>
        </w:tc>
      </w:tr>
    </w:tbl>
    <w:p w14:paraId="50AA79F4" w14:textId="77777777" w:rsidR="00063CE6" w:rsidRDefault="00063CE6" w:rsidP="00CB3EE6">
      <w:pPr>
        <w:jc w:val="both"/>
        <w:rPr>
          <w:rFonts w:ascii="Arial" w:hAnsi="Arial" w:cs="Arial"/>
          <w:sz w:val="18"/>
          <w:szCs w:val="18"/>
        </w:rPr>
      </w:pPr>
    </w:p>
    <w:p w14:paraId="0FA43410" w14:textId="77777777" w:rsidR="00063CE6" w:rsidRDefault="00063CE6" w:rsidP="00CB3EE6">
      <w:pPr>
        <w:jc w:val="both"/>
        <w:rPr>
          <w:rFonts w:ascii="Arial" w:hAnsi="Arial"/>
          <w:sz w:val="20"/>
        </w:rPr>
      </w:pPr>
    </w:p>
    <w:p w14:paraId="5F036E65" w14:textId="2B94C378" w:rsidR="00E94778" w:rsidRPr="005B66F8" w:rsidRDefault="00E94778" w:rsidP="00CB3EE6">
      <w:pPr>
        <w:jc w:val="both"/>
        <w:rPr>
          <w:rFonts w:ascii="Arial" w:hAnsi="Arial" w:cs="Arial"/>
          <w:i/>
          <w:sz w:val="20"/>
          <w:szCs w:val="20"/>
          <w:highlight w:val="yellow"/>
        </w:rPr>
      </w:pPr>
      <w:r w:rsidRPr="00276C60">
        <w:rPr>
          <w:rFonts w:ascii="Arial" w:hAnsi="Arial" w:cs="Arial"/>
          <w:i/>
          <w:sz w:val="20"/>
          <w:szCs w:val="20"/>
          <w:highlight w:val="yellow"/>
        </w:rPr>
        <w:t>Text</w:t>
      </w:r>
    </w:p>
    <w:p w14:paraId="21AF02A4" w14:textId="390B05C3" w:rsidR="003F2BF8" w:rsidRDefault="003F2BF8" w:rsidP="00897485">
      <w:pPr>
        <w:pStyle w:val="Listenabsatz"/>
        <w:ind w:left="792"/>
        <w:jc w:val="both"/>
      </w:pPr>
    </w:p>
    <w:p w14:paraId="52052146" w14:textId="77777777" w:rsidR="003F2BF8" w:rsidRDefault="003F2BF8" w:rsidP="00897485">
      <w:pPr>
        <w:pStyle w:val="Listenabsatz"/>
        <w:ind w:left="792"/>
        <w:jc w:val="both"/>
      </w:pPr>
    </w:p>
    <w:p w14:paraId="29DA5026" w14:textId="77777777" w:rsidR="009C6380" w:rsidRDefault="009C6380" w:rsidP="006F7AB5">
      <w:pPr>
        <w:pStyle w:val="FINMAGliederungEbene2"/>
      </w:pPr>
      <w:bookmarkStart w:id="76" w:name="_Toc216425819"/>
      <w:r>
        <w:t>Andere Vorschriften</w:t>
      </w:r>
      <w:bookmarkEnd w:id="76"/>
    </w:p>
    <w:p w14:paraId="374193DA" w14:textId="77777777" w:rsidR="00801D7B" w:rsidRDefault="00801D7B" w:rsidP="00CB3EE6">
      <w:pPr>
        <w:pStyle w:val="Listenabsatz"/>
        <w:ind w:left="792"/>
        <w:jc w:val="both"/>
      </w:pPr>
    </w:p>
    <w:p w14:paraId="69D1E810" w14:textId="77777777" w:rsidR="009C6380" w:rsidRDefault="009C6380" w:rsidP="006F7AB5">
      <w:pPr>
        <w:pStyle w:val="FINMAGliederungEbene3"/>
      </w:pPr>
      <w:bookmarkStart w:id="77" w:name="_Toc216425820"/>
      <w:r>
        <w:t>Konsolidierung nach CRR (And-1)</w:t>
      </w:r>
      <w:bookmarkEnd w:id="77"/>
    </w:p>
    <w:p w14:paraId="34C08DCC" w14:textId="77777777" w:rsidR="001B7BDD" w:rsidRDefault="001B7BDD" w:rsidP="00CB3EE6">
      <w:pPr>
        <w:jc w:val="both"/>
      </w:pPr>
    </w:p>
    <w:tbl>
      <w:tblPr>
        <w:tblStyle w:val="Tabellenraster"/>
        <w:tblW w:w="0" w:type="auto"/>
        <w:tblLook w:val="04A0" w:firstRow="1" w:lastRow="0" w:firstColumn="1" w:lastColumn="0" w:noHBand="0" w:noVBand="1"/>
      </w:tblPr>
      <w:tblGrid>
        <w:gridCol w:w="1932"/>
        <w:gridCol w:w="2145"/>
        <w:gridCol w:w="1721"/>
        <w:gridCol w:w="3382"/>
      </w:tblGrid>
      <w:tr w:rsidR="00801D7B" w:rsidRPr="009872F3" w14:paraId="37FC3B4C" w14:textId="77777777" w:rsidTr="008C7535">
        <w:trPr>
          <w:trHeight w:val="563"/>
        </w:trPr>
        <w:tc>
          <w:tcPr>
            <w:tcW w:w="1932" w:type="dxa"/>
          </w:tcPr>
          <w:p w14:paraId="5A0C98B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Nettorisiko</w:t>
            </w:r>
          </w:p>
        </w:tc>
        <w:tc>
          <w:tcPr>
            <w:tcW w:w="2145" w:type="dxa"/>
          </w:tcPr>
          <w:p w14:paraId="304C4508"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79010A7C"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801D7B" w:rsidRPr="009872F3" w14:paraId="035F38BF" w14:textId="77777777" w:rsidTr="008C7535">
        <w:trPr>
          <w:trHeight w:val="698"/>
        </w:trPr>
        <w:tc>
          <w:tcPr>
            <w:tcW w:w="1932" w:type="dxa"/>
          </w:tcPr>
          <w:p w14:paraId="627B9D03" w14:textId="36FC09CC"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lastRenderedPageBreak/>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B436417" w14:textId="77777777" w:rsidR="00801D7B" w:rsidRPr="006749F0" w:rsidRDefault="00801D7B" w:rsidP="008C753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2363A4B1" w14:textId="77777777" w:rsidR="00801D7B" w:rsidRPr="009872F3" w:rsidRDefault="00801D7B" w:rsidP="008C753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40B1E814" w14:textId="77777777" w:rsidR="00801D7B" w:rsidRDefault="00801D7B" w:rsidP="008C753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04210F93" w14:textId="77777777" w:rsidR="00801D7B" w:rsidRPr="006749F0" w:rsidRDefault="00801D7B" w:rsidP="008C7535">
            <w:pPr>
              <w:jc w:val="both"/>
              <w:rPr>
                <w:rFonts w:ascii="Arial" w:hAnsi="Arial" w:cs="Arial"/>
                <w:i/>
                <w:sz w:val="18"/>
                <w:szCs w:val="18"/>
              </w:rPr>
            </w:pPr>
            <w:r w:rsidRPr="006749F0">
              <w:rPr>
                <w:rFonts w:ascii="Arial" w:hAnsi="Arial" w:cs="Arial"/>
                <w:i/>
                <w:sz w:val="18"/>
                <w:szCs w:val="18"/>
                <w:highlight w:val="yellow"/>
              </w:rPr>
              <w:t>Jahr</w:t>
            </w:r>
          </w:p>
        </w:tc>
      </w:tr>
      <w:tr w:rsidR="00801D7B" w:rsidRPr="009872F3" w14:paraId="323E06A3" w14:textId="77777777" w:rsidTr="008C7535">
        <w:trPr>
          <w:trHeight w:val="133"/>
        </w:trPr>
        <w:tc>
          <w:tcPr>
            <w:tcW w:w="9180" w:type="dxa"/>
            <w:gridSpan w:val="4"/>
          </w:tcPr>
          <w:p w14:paraId="7710AFA8" w14:textId="77777777" w:rsidR="00801D7B" w:rsidRDefault="00801D7B" w:rsidP="008C7535">
            <w:pPr>
              <w:jc w:val="both"/>
              <w:rPr>
                <w:rFonts w:ascii="Arial" w:hAnsi="Arial" w:cs="Arial"/>
                <w:sz w:val="18"/>
                <w:szCs w:val="18"/>
              </w:rPr>
            </w:pPr>
          </w:p>
          <w:p w14:paraId="562FA9AE" w14:textId="77777777" w:rsidR="00801D7B" w:rsidRPr="00F60909" w:rsidRDefault="00801D7B"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7D8D568B" w14:textId="4A4D9463" w:rsidR="00801D7B" w:rsidRPr="009872F3" w:rsidRDefault="00801D7B" w:rsidP="00801D7B">
            <w:pPr>
              <w:jc w:val="both"/>
              <w:rPr>
                <w:rFonts w:ascii="Arial" w:hAnsi="Arial" w:cs="Arial"/>
                <w:sz w:val="18"/>
                <w:szCs w:val="18"/>
              </w:rPr>
            </w:pPr>
            <w:r w:rsidRPr="000B7DF6">
              <w:rPr>
                <w:rFonts w:ascii="Arial" w:hAnsi="Arial" w:cs="Arial"/>
                <w:sz w:val="18"/>
                <w:szCs w:val="18"/>
                <w:highlight w:val="yellow"/>
              </w:rPr>
              <w:t xml:space="preserve">Art </w:t>
            </w:r>
            <w:r w:rsidR="00544DAD">
              <w:rPr>
                <w:rFonts w:ascii="Arial" w:hAnsi="Arial" w:cs="Arial"/>
                <w:sz w:val="18"/>
                <w:szCs w:val="18"/>
                <w:highlight w:val="yellow"/>
              </w:rPr>
              <w:t xml:space="preserve">71 BankG, Art. </w:t>
            </w:r>
            <w:r w:rsidR="0047220F">
              <w:rPr>
                <w:rFonts w:ascii="Arial" w:hAnsi="Arial" w:cs="Arial"/>
                <w:sz w:val="18"/>
                <w:szCs w:val="18"/>
                <w:highlight w:val="yellow"/>
              </w:rPr>
              <w:t xml:space="preserve">79 </w:t>
            </w:r>
            <w:r w:rsidRPr="000B7DF6">
              <w:rPr>
                <w:rFonts w:ascii="Arial" w:hAnsi="Arial" w:cs="Arial"/>
                <w:sz w:val="18"/>
                <w:szCs w:val="18"/>
                <w:highlight w:val="yellow"/>
              </w:rPr>
              <w:t xml:space="preserve">BankG; </w:t>
            </w:r>
            <w:r w:rsidR="00544DAD">
              <w:rPr>
                <w:rFonts w:ascii="Arial" w:hAnsi="Arial" w:cs="Arial"/>
                <w:sz w:val="18"/>
                <w:szCs w:val="18"/>
                <w:highlight w:val="yellow"/>
              </w:rPr>
              <w:t xml:space="preserve">Art. 16 BankV, </w:t>
            </w:r>
            <w:r w:rsidRPr="000B7DF6">
              <w:rPr>
                <w:rFonts w:ascii="Arial" w:hAnsi="Arial" w:cs="Arial"/>
                <w:sz w:val="18"/>
                <w:szCs w:val="18"/>
                <w:highlight w:val="yellow"/>
              </w:rPr>
              <w:t xml:space="preserve">FMA-Mitteilung 2017/4; FMA-Mitteilung 2017/6; </w:t>
            </w:r>
            <w:r w:rsidR="00920F67">
              <w:rPr>
                <w:rFonts w:ascii="Arial" w:hAnsi="Arial" w:cs="Arial"/>
                <w:sz w:val="18"/>
                <w:szCs w:val="18"/>
                <w:highlight w:val="yellow"/>
              </w:rPr>
              <w:t xml:space="preserve">VO (EU) Nr. 575/2013 </w:t>
            </w:r>
            <w:r w:rsidRPr="000B7DF6">
              <w:rPr>
                <w:rFonts w:ascii="Arial" w:hAnsi="Arial" w:cs="Arial"/>
                <w:sz w:val="18"/>
                <w:szCs w:val="18"/>
                <w:highlight w:val="yellow"/>
              </w:rPr>
              <w:t>Art</w:t>
            </w:r>
            <w:r w:rsidR="00751CF7">
              <w:rPr>
                <w:rFonts w:ascii="Arial" w:hAnsi="Arial" w:cs="Arial"/>
                <w:sz w:val="18"/>
                <w:szCs w:val="18"/>
                <w:highlight w:val="yellow"/>
              </w:rPr>
              <w:t>. 6</w:t>
            </w:r>
            <w:r w:rsidRPr="000B7DF6">
              <w:rPr>
                <w:rFonts w:ascii="Arial" w:hAnsi="Arial" w:cs="Arial"/>
                <w:sz w:val="18"/>
                <w:szCs w:val="18"/>
                <w:highlight w:val="yellow"/>
              </w:rPr>
              <w:t xml:space="preserve"> bis </w:t>
            </w:r>
            <w:r w:rsidR="00751CF7">
              <w:rPr>
                <w:rFonts w:ascii="Arial" w:hAnsi="Arial" w:cs="Arial"/>
                <w:sz w:val="18"/>
                <w:szCs w:val="18"/>
                <w:highlight w:val="yellow"/>
              </w:rPr>
              <w:t>24</w:t>
            </w:r>
            <w:r w:rsidR="00920F67">
              <w:rPr>
                <w:rFonts w:ascii="Arial" w:hAnsi="Arial" w:cs="Arial"/>
                <w:sz w:val="18"/>
                <w:szCs w:val="18"/>
                <w:highlight w:val="yellow"/>
              </w:rPr>
              <w:t xml:space="preserve">; </w:t>
            </w:r>
          </w:p>
        </w:tc>
      </w:tr>
      <w:tr w:rsidR="00801D7B" w:rsidRPr="009872F3" w14:paraId="34A989C3" w14:textId="77777777" w:rsidTr="008C7535">
        <w:trPr>
          <w:trHeight w:val="294"/>
        </w:trPr>
        <w:tc>
          <w:tcPr>
            <w:tcW w:w="9180" w:type="dxa"/>
            <w:gridSpan w:val="4"/>
          </w:tcPr>
          <w:p w14:paraId="109163AC" w14:textId="77777777" w:rsidR="00801D7B" w:rsidRPr="009872F3" w:rsidRDefault="00801D7B" w:rsidP="008C7535">
            <w:pPr>
              <w:jc w:val="both"/>
              <w:rPr>
                <w:rFonts w:ascii="Arial" w:hAnsi="Arial" w:cs="Arial"/>
                <w:sz w:val="18"/>
                <w:szCs w:val="18"/>
              </w:rPr>
            </w:pPr>
          </w:p>
        </w:tc>
      </w:tr>
      <w:tr w:rsidR="00F73268" w:rsidRPr="009872F3" w14:paraId="242A5386" w14:textId="77777777" w:rsidTr="008C7535">
        <w:tc>
          <w:tcPr>
            <w:tcW w:w="5798" w:type="dxa"/>
            <w:gridSpan w:val="3"/>
          </w:tcPr>
          <w:p w14:paraId="6716D43B" w14:textId="77777777" w:rsidR="00F73268" w:rsidRDefault="00F73268" w:rsidP="00F73268">
            <w:pPr>
              <w:jc w:val="both"/>
              <w:rPr>
                <w:rFonts w:ascii="Arial" w:hAnsi="Arial" w:cs="Arial"/>
                <w:sz w:val="18"/>
                <w:szCs w:val="18"/>
              </w:rPr>
            </w:pPr>
            <w:r>
              <w:rPr>
                <w:rFonts w:ascii="Arial" w:hAnsi="Arial" w:cs="Arial"/>
                <w:sz w:val="18"/>
                <w:szCs w:val="18"/>
              </w:rPr>
              <w:t>Bestätigung, dass die internen Verfahren den vollständigen Datenaustausch zwischen den Gruppenentitäten im In- und Ausland sicherstellen</w:t>
            </w:r>
          </w:p>
        </w:tc>
        <w:tc>
          <w:tcPr>
            <w:tcW w:w="3382" w:type="dxa"/>
          </w:tcPr>
          <w:p w14:paraId="71D8C5D4" w14:textId="77777777" w:rsidR="00F73268" w:rsidRPr="00C3479D" w:rsidRDefault="00F73268"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460FCD49" w14:textId="77777777" w:rsidTr="008C7535">
        <w:tc>
          <w:tcPr>
            <w:tcW w:w="5798" w:type="dxa"/>
            <w:gridSpan w:val="3"/>
          </w:tcPr>
          <w:p w14:paraId="06D2F8C0" w14:textId="0472CF79" w:rsidR="00801D7B" w:rsidRPr="009872F3" w:rsidRDefault="00801D7B" w:rsidP="00F73268">
            <w:pPr>
              <w:jc w:val="both"/>
              <w:rPr>
                <w:rFonts w:ascii="Arial" w:hAnsi="Arial" w:cs="Arial"/>
                <w:sz w:val="18"/>
                <w:szCs w:val="18"/>
              </w:rPr>
            </w:pPr>
            <w:r>
              <w:rPr>
                <w:rFonts w:ascii="Arial" w:hAnsi="Arial" w:cs="Arial"/>
                <w:sz w:val="18"/>
                <w:szCs w:val="18"/>
              </w:rPr>
              <w:t xml:space="preserve">Bestätigung, dass </w:t>
            </w:r>
            <w:r w:rsidR="00F73268">
              <w:rPr>
                <w:rFonts w:ascii="Arial" w:hAnsi="Arial" w:cs="Arial"/>
                <w:sz w:val="18"/>
                <w:szCs w:val="18"/>
              </w:rPr>
              <w:t xml:space="preserve">die internen Verfahren sicherstellen, dass der CRR-Konsolidierungskreis </w:t>
            </w:r>
            <w:r w:rsidR="00920F67">
              <w:rPr>
                <w:rFonts w:ascii="Arial" w:hAnsi="Arial" w:cs="Arial"/>
                <w:sz w:val="18"/>
                <w:szCs w:val="18"/>
              </w:rPr>
              <w:t xml:space="preserve">gemäss den </w:t>
            </w:r>
            <w:r w:rsidR="00DA5A61">
              <w:rPr>
                <w:rFonts w:ascii="Arial" w:hAnsi="Arial" w:cs="Arial"/>
                <w:sz w:val="18"/>
                <w:szCs w:val="18"/>
              </w:rPr>
              <w:t>einschlägigen</w:t>
            </w:r>
            <w:r w:rsidR="00920F67">
              <w:rPr>
                <w:rFonts w:ascii="Arial" w:hAnsi="Arial" w:cs="Arial"/>
                <w:sz w:val="18"/>
                <w:szCs w:val="18"/>
              </w:rPr>
              <w:t xml:space="preserve"> Bestimmungen </w:t>
            </w:r>
            <w:r w:rsidR="00F73268">
              <w:rPr>
                <w:rFonts w:ascii="Arial" w:hAnsi="Arial" w:cs="Arial"/>
                <w:sz w:val="18"/>
                <w:szCs w:val="18"/>
              </w:rPr>
              <w:t>korrekt angewendet wird</w:t>
            </w:r>
          </w:p>
        </w:tc>
        <w:tc>
          <w:tcPr>
            <w:tcW w:w="3382" w:type="dxa"/>
          </w:tcPr>
          <w:p w14:paraId="669D92A6" w14:textId="77777777" w:rsidR="00801D7B" w:rsidRPr="00E109DF" w:rsidRDefault="00801D7B"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801D7B" w:rsidRPr="009872F3" w14:paraId="7E96310F" w14:textId="77777777" w:rsidTr="008C7535">
        <w:tc>
          <w:tcPr>
            <w:tcW w:w="5798" w:type="dxa"/>
            <w:gridSpan w:val="3"/>
          </w:tcPr>
          <w:p w14:paraId="67434155" w14:textId="77777777" w:rsidR="00801D7B" w:rsidRDefault="00F73268" w:rsidP="008C7535">
            <w:pPr>
              <w:jc w:val="both"/>
              <w:rPr>
                <w:rFonts w:ascii="Arial" w:hAnsi="Arial" w:cs="Arial"/>
                <w:sz w:val="18"/>
                <w:szCs w:val="18"/>
              </w:rPr>
            </w:pPr>
            <w:r>
              <w:rPr>
                <w:rFonts w:ascii="Arial" w:hAnsi="Arial" w:cs="Arial"/>
                <w:sz w:val="18"/>
                <w:szCs w:val="18"/>
              </w:rPr>
              <w:t>Bestätigung, dass die internen Verfahren eine angemessene Allokation der Eigenmittel und der Liquidität innerhalb der Gruppe sicherstellen</w:t>
            </w:r>
          </w:p>
        </w:tc>
        <w:tc>
          <w:tcPr>
            <w:tcW w:w="3382" w:type="dxa"/>
          </w:tcPr>
          <w:p w14:paraId="1A2E5597" w14:textId="77777777" w:rsidR="00801D7B" w:rsidRPr="00E109DF" w:rsidRDefault="00801D7B"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62E4F6EC" w14:textId="77777777" w:rsidR="00801D7B" w:rsidRDefault="00801D7B" w:rsidP="00801D7B">
      <w:pPr>
        <w:jc w:val="both"/>
      </w:pPr>
    </w:p>
    <w:tbl>
      <w:tblPr>
        <w:tblStyle w:val="Tabellenraster"/>
        <w:tblW w:w="0" w:type="auto"/>
        <w:tblLook w:val="04A0" w:firstRow="1" w:lastRow="0" w:firstColumn="1" w:lastColumn="0" w:noHBand="0" w:noVBand="1"/>
      </w:tblPr>
      <w:tblGrid>
        <w:gridCol w:w="2785"/>
        <w:gridCol w:w="6520"/>
      </w:tblGrid>
      <w:tr w:rsidR="00801D7B" w:rsidRPr="00CE3194" w14:paraId="2A0181F4" w14:textId="77777777" w:rsidTr="008C7535">
        <w:tc>
          <w:tcPr>
            <w:tcW w:w="2785" w:type="dxa"/>
          </w:tcPr>
          <w:p w14:paraId="04E199EC" w14:textId="77777777" w:rsidR="00801D7B" w:rsidRPr="00CE3194" w:rsidRDefault="00801D7B"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5DDAB292" w14:textId="77777777" w:rsidR="00801D7B" w:rsidRPr="00CE3194" w:rsidRDefault="00801D7B"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801D7B" w:rsidRPr="00CE3194" w14:paraId="70208AAA" w14:textId="77777777" w:rsidTr="008C7535">
        <w:tc>
          <w:tcPr>
            <w:tcW w:w="2785" w:type="dxa"/>
          </w:tcPr>
          <w:p w14:paraId="16E32B3C" w14:textId="77777777" w:rsidR="00801D7B" w:rsidRDefault="00F73268" w:rsidP="008C7535">
            <w:pPr>
              <w:jc w:val="both"/>
              <w:rPr>
                <w:rFonts w:ascii="Arial" w:hAnsi="Arial" w:cs="Arial"/>
                <w:i/>
                <w:sz w:val="20"/>
                <w:szCs w:val="20"/>
                <w:highlight w:val="lightGray"/>
              </w:rPr>
            </w:pPr>
            <w:r>
              <w:rPr>
                <w:rFonts w:ascii="Arial" w:hAnsi="Arial" w:cs="Arial"/>
                <w:i/>
                <w:sz w:val="20"/>
                <w:szCs w:val="20"/>
                <w:highlight w:val="lightGray"/>
              </w:rPr>
              <w:t>Datenaustausch</w:t>
            </w:r>
          </w:p>
        </w:tc>
        <w:tc>
          <w:tcPr>
            <w:tcW w:w="6520" w:type="dxa"/>
          </w:tcPr>
          <w:p w14:paraId="23FE5C1D" w14:textId="77777777" w:rsidR="00801D7B" w:rsidRPr="00F73268" w:rsidRDefault="00801D7B" w:rsidP="00F73268">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einen vollständigen Datenaustausch zwischen den Gruppenentitäten im In- und Ausland sicher</w:t>
            </w:r>
          </w:p>
        </w:tc>
      </w:tr>
      <w:tr w:rsidR="00F73268" w:rsidRPr="00CE3194" w14:paraId="2847CE05" w14:textId="77777777" w:rsidTr="008C7535">
        <w:tc>
          <w:tcPr>
            <w:tcW w:w="2785" w:type="dxa"/>
          </w:tcPr>
          <w:p w14:paraId="2B749C90" w14:textId="77777777" w:rsidR="00F73268" w:rsidRDefault="00F73268" w:rsidP="008C7535">
            <w:pPr>
              <w:jc w:val="both"/>
              <w:rPr>
                <w:rFonts w:ascii="Arial" w:hAnsi="Arial" w:cs="Arial"/>
                <w:i/>
                <w:sz w:val="20"/>
                <w:szCs w:val="20"/>
                <w:highlight w:val="lightGray"/>
              </w:rPr>
            </w:pPr>
            <w:r>
              <w:rPr>
                <w:rFonts w:ascii="Arial" w:hAnsi="Arial" w:cs="Arial"/>
                <w:i/>
                <w:sz w:val="20"/>
                <w:szCs w:val="20"/>
                <w:highlight w:val="lightGray"/>
              </w:rPr>
              <w:t>Konsolidierungskreis</w:t>
            </w:r>
          </w:p>
        </w:tc>
        <w:tc>
          <w:tcPr>
            <w:tcW w:w="6520" w:type="dxa"/>
          </w:tcPr>
          <w:p w14:paraId="33A6FD15" w14:textId="3D955D16" w:rsidR="00F73268" w:rsidRPr="00F73268" w:rsidRDefault="00F73268" w:rsidP="00F73268">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gewährleisten die Korrektheit des CRR-Konsolidierungskreises </w:t>
            </w:r>
            <w:r w:rsidR="00920F67">
              <w:rPr>
                <w:rFonts w:cs="Arial"/>
                <w:i/>
                <w:szCs w:val="20"/>
                <w:highlight w:val="lightGray"/>
              </w:rPr>
              <w:t xml:space="preserve">gemäss den </w:t>
            </w:r>
            <w:r w:rsidR="00CF6326">
              <w:rPr>
                <w:rFonts w:cs="Arial"/>
                <w:i/>
                <w:szCs w:val="20"/>
                <w:highlight w:val="lightGray"/>
              </w:rPr>
              <w:t>einschlägigen</w:t>
            </w:r>
            <w:r w:rsidR="00920F67">
              <w:rPr>
                <w:rFonts w:cs="Arial"/>
                <w:i/>
                <w:szCs w:val="20"/>
                <w:highlight w:val="lightGray"/>
              </w:rPr>
              <w:t xml:space="preserve"> Bestimmungen</w:t>
            </w:r>
          </w:p>
        </w:tc>
      </w:tr>
      <w:tr w:rsidR="00F73268" w:rsidRPr="00CE3194" w14:paraId="7BDFEE5D" w14:textId="77777777" w:rsidTr="008C7535">
        <w:tc>
          <w:tcPr>
            <w:tcW w:w="2785" w:type="dxa"/>
          </w:tcPr>
          <w:p w14:paraId="65B762EA" w14:textId="77777777" w:rsidR="00F73268" w:rsidRDefault="00F73268" w:rsidP="008C7535">
            <w:pPr>
              <w:jc w:val="both"/>
              <w:rPr>
                <w:rFonts w:ascii="Arial" w:hAnsi="Arial" w:cs="Arial"/>
                <w:i/>
                <w:sz w:val="20"/>
                <w:szCs w:val="20"/>
                <w:highlight w:val="lightGray"/>
              </w:rPr>
            </w:pPr>
            <w:r>
              <w:rPr>
                <w:rFonts w:ascii="Arial" w:hAnsi="Arial" w:cs="Arial"/>
                <w:i/>
                <w:sz w:val="20"/>
                <w:szCs w:val="20"/>
                <w:highlight w:val="lightGray"/>
              </w:rPr>
              <w:t>Allokation der Eigenmittel und Liquidität</w:t>
            </w:r>
          </w:p>
        </w:tc>
        <w:tc>
          <w:tcPr>
            <w:tcW w:w="6520" w:type="dxa"/>
          </w:tcPr>
          <w:p w14:paraId="475AA7B0" w14:textId="77777777" w:rsidR="00F73268" w:rsidRDefault="00F73268" w:rsidP="008C7535">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eine angemessene Allokation der Eigenmittel und Liquidität innerhalb der Gruppe sicher</w:t>
            </w:r>
          </w:p>
        </w:tc>
      </w:tr>
    </w:tbl>
    <w:p w14:paraId="58C86769" w14:textId="77777777" w:rsidR="001B7BDD" w:rsidRDefault="001B7BDD" w:rsidP="00CB3EE6">
      <w:pPr>
        <w:jc w:val="both"/>
      </w:pPr>
    </w:p>
    <w:p w14:paraId="1B340A47" w14:textId="77777777" w:rsidR="00801D7B" w:rsidRPr="00667026" w:rsidRDefault="00801D7B" w:rsidP="00801D7B">
      <w:pPr>
        <w:jc w:val="both"/>
        <w:rPr>
          <w:rFonts w:ascii="Arial" w:hAnsi="Arial" w:cs="Arial"/>
          <w:i/>
          <w:sz w:val="20"/>
          <w:szCs w:val="20"/>
        </w:rPr>
      </w:pPr>
      <w:r w:rsidRPr="00276C60">
        <w:rPr>
          <w:rFonts w:ascii="Arial" w:hAnsi="Arial" w:cs="Arial"/>
          <w:i/>
          <w:sz w:val="20"/>
          <w:szCs w:val="20"/>
          <w:highlight w:val="yellow"/>
        </w:rPr>
        <w:t>Text</w:t>
      </w:r>
    </w:p>
    <w:p w14:paraId="367B052F" w14:textId="77777777" w:rsidR="001B7BDD" w:rsidRDefault="001B7BDD" w:rsidP="00CB3EE6">
      <w:pPr>
        <w:jc w:val="both"/>
      </w:pPr>
    </w:p>
    <w:p w14:paraId="2882A92D" w14:textId="1BD13B72" w:rsidR="009C6380" w:rsidRPr="00A44F5C" w:rsidRDefault="009C6380" w:rsidP="006F7AB5">
      <w:pPr>
        <w:pStyle w:val="FINMAGliederungEbene3"/>
      </w:pPr>
      <w:bookmarkStart w:id="78" w:name="_Toc216425821"/>
      <w:r w:rsidRPr="005C724F">
        <w:t xml:space="preserve">Wertpapier- </w:t>
      </w:r>
      <w:r w:rsidR="0084034D" w:rsidRPr="00A32220">
        <w:t>und Nebendienstleistungen</w:t>
      </w:r>
      <w:r w:rsidR="00D219B8">
        <w:t xml:space="preserve"> </w:t>
      </w:r>
      <w:r w:rsidR="0084034D" w:rsidRPr="00576700">
        <w:t>(And-2</w:t>
      </w:r>
      <w:r w:rsidRPr="00A44F5C">
        <w:t>)</w:t>
      </w:r>
      <w:bookmarkEnd w:id="78"/>
    </w:p>
    <w:p w14:paraId="37A0F9AA" w14:textId="77777777" w:rsidR="001B7BDD" w:rsidRDefault="001B7BDD" w:rsidP="00CB3EE6">
      <w:pPr>
        <w:jc w:val="both"/>
      </w:pPr>
    </w:p>
    <w:tbl>
      <w:tblPr>
        <w:tblStyle w:val="Tabellenraster"/>
        <w:tblW w:w="0" w:type="auto"/>
        <w:tblLook w:val="04A0" w:firstRow="1" w:lastRow="0" w:firstColumn="1" w:lastColumn="0" w:noHBand="0" w:noVBand="1"/>
      </w:tblPr>
      <w:tblGrid>
        <w:gridCol w:w="1476"/>
        <w:gridCol w:w="2220"/>
        <w:gridCol w:w="2083"/>
        <w:gridCol w:w="3735"/>
      </w:tblGrid>
      <w:tr w:rsidR="00CC5892" w:rsidRPr="009872F3" w14:paraId="5719C89E" w14:textId="77777777" w:rsidTr="00093B3E">
        <w:trPr>
          <w:trHeight w:val="563"/>
        </w:trPr>
        <w:tc>
          <w:tcPr>
            <w:tcW w:w="1504" w:type="dxa"/>
          </w:tcPr>
          <w:p w14:paraId="3596D230" w14:textId="77777777" w:rsidR="00CC5892" w:rsidRPr="009872F3" w:rsidRDefault="00CC5892" w:rsidP="008C7535">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760A56B2" w14:textId="77777777" w:rsidR="00CC5892" w:rsidRPr="009872F3" w:rsidRDefault="00CC5892" w:rsidP="008C7535">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05ACF403" w14:textId="4766B009" w:rsidR="00CC5892" w:rsidRPr="009872F3" w:rsidRDefault="00243B63" w:rsidP="008C7535">
            <w:pPr>
              <w:jc w:val="both"/>
              <w:rPr>
                <w:rFonts w:ascii="Arial" w:hAnsi="Arial" w:cs="Arial"/>
                <w:sz w:val="18"/>
                <w:szCs w:val="18"/>
              </w:rPr>
            </w:pPr>
            <w:r>
              <w:rPr>
                <w:rFonts w:ascii="Arial" w:hAnsi="Arial" w:cs="Arial"/>
                <w:sz w:val="18"/>
                <w:szCs w:val="18"/>
              </w:rPr>
              <w:t xml:space="preserve">In den vorangegangenen fünf Jahren im Rahmen der </w:t>
            </w:r>
            <w:r w:rsidR="00CC5892">
              <w:rPr>
                <w:rFonts w:ascii="Arial" w:hAnsi="Arial" w:cs="Arial"/>
                <w:sz w:val="18"/>
                <w:szCs w:val="18"/>
              </w:rPr>
              <w:t xml:space="preserve">graduellen Abdeckung abgedeckte Prüfelemente mit Angabe der jeweiligen Prüftiefe und des Prüfjahrs </w:t>
            </w:r>
          </w:p>
        </w:tc>
      </w:tr>
      <w:tr w:rsidR="00CC5892" w:rsidRPr="009872F3" w14:paraId="65119C28" w14:textId="77777777" w:rsidTr="00093B3E">
        <w:trPr>
          <w:trHeight w:val="698"/>
        </w:trPr>
        <w:tc>
          <w:tcPr>
            <w:tcW w:w="1504" w:type="dxa"/>
          </w:tcPr>
          <w:p w14:paraId="133231B7" w14:textId="7E10B13F" w:rsidR="00CC5892" w:rsidRPr="006749F0" w:rsidRDefault="00CC5892" w:rsidP="008C753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4409" w:type="dxa"/>
            <w:gridSpan w:val="2"/>
          </w:tcPr>
          <w:p w14:paraId="07A9E491" w14:textId="77777777" w:rsidR="00CC5892" w:rsidRPr="00CB3EE6" w:rsidRDefault="00CC5892" w:rsidP="008C7535">
            <w:pPr>
              <w:jc w:val="both"/>
              <w:rPr>
                <w:rFonts w:ascii="Arial" w:hAnsi="Arial" w:cs="Arial"/>
                <w:sz w:val="18"/>
                <w:szCs w:val="18"/>
                <w:highlight w:val="yellow"/>
              </w:rPr>
            </w:pPr>
            <w:r>
              <w:rPr>
                <w:rFonts w:ascii="Arial" w:hAnsi="Arial" w:cs="Arial"/>
                <w:sz w:val="18"/>
                <w:szCs w:val="18"/>
                <w:highlight w:val="yellow"/>
              </w:rPr>
              <w:t>Beispiel für Berichtsjahr 2018:</w:t>
            </w:r>
          </w:p>
          <w:p w14:paraId="1BB2532A" w14:textId="77777777" w:rsidR="00CC5892" w:rsidRPr="00CB3EE6" w:rsidRDefault="00CC5892" w:rsidP="00CB3EE6">
            <w:pPr>
              <w:pStyle w:val="Listenabsatz"/>
              <w:numPr>
                <w:ilvl w:val="1"/>
                <w:numId w:val="17"/>
              </w:numPr>
              <w:ind w:left="197" w:hanging="197"/>
              <w:jc w:val="both"/>
              <w:rPr>
                <w:rFonts w:cs="Arial"/>
                <w:sz w:val="18"/>
                <w:szCs w:val="18"/>
                <w:highlight w:val="yellow"/>
              </w:rPr>
            </w:pPr>
            <w:r w:rsidRPr="00CB3EE6">
              <w:rPr>
                <w:rFonts w:cs="Arial"/>
                <w:sz w:val="18"/>
                <w:szCs w:val="18"/>
                <w:highlight w:val="yellow"/>
              </w:rPr>
              <w:t>Anlageberat</w:t>
            </w:r>
            <w:r w:rsidRPr="00CC5892">
              <w:rPr>
                <w:rFonts w:cs="Arial"/>
                <w:sz w:val="18"/>
                <w:szCs w:val="18"/>
                <w:highlight w:val="yellow"/>
              </w:rPr>
              <w:t>ung</w:t>
            </w:r>
            <w:r>
              <w:rPr>
                <w:rFonts w:cs="Arial"/>
                <w:sz w:val="18"/>
                <w:szCs w:val="18"/>
                <w:highlight w:val="yellow"/>
              </w:rPr>
              <w:t xml:space="preserve"> (Detailprüfung)</w:t>
            </w:r>
          </w:p>
          <w:p w14:paraId="232D267C" w14:textId="77777777" w:rsidR="00CC5892" w:rsidRPr="00CB3EE6" w:rsidRDefault="00CC5892" w:rsidP="00CB3EE6">
            <w:pPr>
              <w:pStyle w:val="Listenabsatz"/>
              <w:numPr>
                <w:ilvl w:val="1"/>
                <w:numId w:val="17"/>
              </w:numPr>
              <w:ind w:left="197" w:hanging="197"/>
              <w:jc w:val="both"/>
              <w:rPr>
                <w:rFonts w:cs="Arial"/>
                <w:sz w:val="18"/>
                <w:szCs w:val="18"/>
                <w:highlight w:val="yellow"/>
              </w:rPr>
            </w:pPr>
            <w:r w:rsidRPr="00CB3EE6">
              <w:rPr>
                <w:rFonts w:cs="Arial"/>
                <w:sz w:val="18"/>
                <w:szCs w:val="18"/>
                <w:highlight w:val="yellow"/>
              </w:rPr>
              <w:t>Zuwendungen (Kritische Beurteilung)</w:t>
            </w:r>
          </w:p>
          <w:p w14:paraId="162A2DAE" w14:textId="77777777" w:rsidR="00067398" w:rsidRPr="00CB3EE6" w:rsidRDefault="00067398" w:rsidP="00CB3EE6">
            <w:pPr>
              <w:pStyle w:val="Listenabsatz"/>
              <w:numPr>
                <w:ilvl w:val="1"/>
                <w:numId w:val="17"/>
              </w:numPr>
              <w:ind w:left="197" w:hanging="197"/>
              <w:jc w:val="both"/>
              <w:rPr>
                <w:rFonts w:cs="Arial"/>
                <w:sz w:val="18"/>
                <w:szCs w:val="18"/>
              </w:rPr>
            </w:pPr>
            <w:r w:rsidRPr="00CB3EE6">
              <w:rPr>
                <w:rFonts w:cs="Arial"/>
                <w:sz w:val="18"/>
                <w:szCs w:val="18"/>
                <w:highlight w:val="yellow"/>
              </w:rPr>
              <w:t>Cross-Selling (Kritische Beurteilung)</w:t>
            </w:r>
          </w:p>
        </w:tc>
        <w:tc>
          <w:tcPr>
            <w:tcW w:w="3827" w:type="dxa"/>
          </w:tcPr>
          <w:p w14:paraId="6B271C63" w14:textId="77777777" w:rsidR="00CC5892" w:rsidRPr="00B037A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Beispiel:</w:t>
            </w:r>
          </w:p>
          <w:p w14:paraId="5678FA4C"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2013: Bestmögliche Ausführung von Kundenaufträgen (Detailprüfung)</w:t>
            </w:r>
          </w:p>
          <w:p w14:paraId="7A272B05"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2014: Eignung und Angemessenheit (Detailprüfung)</w:t>
            </w:r>
          </w:p>
          <w:p w14:paraId="4BAA50DB"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2015: Dokumentations- und Informationspflichten (Kritische Beurteilung)</w:t>
            </w:r>
          </w:p>
          <w:p w14:paraId="5FECCD14" w14:textId="77777777" w:rsidR="00CC5892" w:rsidRPr="00CB3EE6" w:rsidRDefault="00CC5892" w:rsidP="008C7535">
            <w:pPr>
              <w:jc w:val="both"/>
              <w:rPr>
                <w:rFonts w:ascii="Arial" w:hAnsi="Arial" w:cs="Arial"/>
                <w:i/>
                <w:sz w:val="18"/>
                <w:szCs w:val="18"/>
                <w:highlight w:val="yellow"/>
              </w:rPr>
            </w:pPr>
            <w:r w:rsidRPr="00CB3EE6">
              <w:rPr>
                <w:rFonts w:ascii="Arial" w:hAnsi="Arial" w:cs="Arial"/>
                <w:i/>
                <w:sz w:val="18"/>
                <w:szCs w:val="18"/>
                <w:highlight w:val="yellow"/>
              </w:rPr>
              <w:t xml:space="preserve">2016: </w:t>
            </w:r>
            <w:r w:rsidR="00067398" w:rsidRPr="00CB3EE6">
              <w:rPr>
                <w:rFonts w:ascii="Arial" w:hAnsi="Arial" w:cs="Arial"/>
                <w:i/>
                <w:sz w:val="18"/>
                <w:szCs w:val="18"/>
                <w:highlight w:val="yellow"/>
              </w:rPr>
              <w:t>Produktgenehmigungs-</w:t>
            </w:r>
            <w:r w:rsidRPr="00CB3EE6">
              <w:rPr>
                <w:rFonts w:ascii="Arial" w:hAnsi="Arial" w:cs="Arial"/>
                <w:i/>
                <w:sz w:val="18"/>
                <w:szCs w:val="18"/>
                <w:highlight w:val="yellow"/>
              </w:rPr>
              <w:t xml:space="preserve"> und </w:t>
            </w:r>
            <w:r w:rsidR="00067398" w:rsidRPr="00CB3EE6">
              <w:rPr>
                <w:rFonts w:ascii="Arial" w:hAnsi="Arial" w:cs="Arial"/>
                <w:i/>
                <w:sz w:val="18"/>
                <w:szCs w:val="18"/>
                <w:highlight w:val="yellow"/>
              </w:rPr>
              <w:t>Überwachungsverfahren (Detailprüfung)</w:t>
            </w:r>
          </w:p>
          <w:p w14:paraId="1A846B35" w14:textId="616CAB6E" w:rsidR="00067398" w:rsidRPr="00B037A6" w:rsidRDefault="00067398" w:rsidP="00067398">
            <w:pPr>
              <w:jc w:val="both"/>
              <w:rPr>
                <w:rFonts w:ascii="Arial" w:hAnsi="Arial" w:cs="Arial"/>
                <w:i/>
                <w:sz w:val="18"/>
                <w:szCs w:val="18"/>
                <w:highlight w:val="yellow"/>
              </w:rPr>
            </w:pPr>
            <w:r w:rsidRPr="00CB3EE6">
              <w:rPr>
                <w:rFonts w:ascii="Arial" w:hAnsi="Arial" w:cs="Arial"/>
                <w:i/>
                <w:sz w:val="18"/>
                <w:szCs w:val="18"/>
                <w:highlight w:val="yellow"/>
              </w:rPr>
              <w:t xml:space="preserve">2017: Systematischer </w:t>
            </w:r>
            <w:r w:rsidR="00296DCC" w:rsidRPr="00B037A6">
              <w:rPr>
                <w:rFonts w:ascii="Arial" w:hAnsi="Arial" w:cs="Arial"/>
                <w:i/>
                <w:sz w:val="18"/>
                <w:szCs w:val="18"/>
                <w:highlight w:val="yellow"/>
              </w:rPr>
              <w:t xml:space="preserve"> Internalisierer</w:t>
            </w:r>
            <w:r w:rsidRPr="00CB3EE6">
              <w:rPr>
                <w:rFonts w:ascii="Arial" w:hAnsi="Arial" w:cs="Arial"/>
                <w:i/>
                <w:sz w:val="18"/>
                <w:szCs w:val="18"/>
                <w:highlight w:val="yellow"/>
              </w:rPr>
              <w:t xml:space="preserve"> (Kritische Beurteilung)</w:t>
            </w:r>
            <w:r w:rsidR="0029354E">
              <w:rPr>
                <w:rFonts w:ascii="Arial" w:hAnsi="Arial" w:cs="Arial"/>
                <w:i/>
                <w:sz w:val="18"/>
                <w:szCs w:val="18"/>
                <w:highlight w:val="yellow"/>
              </w:rPr>
              <w:t xml:space="preserve"> &amp; Schutz des Kundenvermögens (Detailprüfung)</w:t>
            </w:r>
          </w:p>
        </w:tc>
      </w:tr>
      <w:tr w:rsidR="00CC5892" w:rsidRPr="009872F3" w14:paraId="7D56399A" w14:textId="77777777" w:rsidTr="00093B3E">
        <w:trPr>
          <w:trHeight w:val="133"/>
        </w:trPr>
        <w:tc>
          <w:tcPr>
            <w:tcW w:w="9740" w:type="dxa"/>
            <w:gridSpan w:val="4"/>
          </w:tcPr>
          <w:p w14:paraId="6FA08471" w14:textId="77777777" w:rsidR="00CC5892" w:rsidRDefault="00CC5892" w:rsidP="008C7535">
            <w:pPr>
              <w:jc w:val="both"/>
              <w:rPr>
                <w:rFonts w:ascii="Arial" w:hAnsi="Arial" w:cs="Arial"/>
                <w:sz w:val="18"/>
                <w:szCs w:val="18"/>
              </w:rPr>
            </w:pPr>
          </w:p>
          <w:p w14:paraId="7C05E20D" w14:textId="77777777" w:rsidR="00CC5892" w:rsidRPr="00F60909" w:rsidRDefault="00CC5892" w:rsidP="008C7535">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153FF125" w14:textId="7801014A" w:rsidR="00CC5892" w:rsidRDefault="00184216" w:rsidP="008C7535">
            <w:pPr>
              <w:jc w:val="both"/>
              <w:rPr>
                <w:rFonts w:ascii="Arial" w:hAnsi="Arial" w:cs="Arial"/>
                <w:sz w:val="18"/>
                <w:szCs w:val="18"/>
                <w:highlight w:val="yellow"/>
              </w:rPr>
            </w:pPr>
            <w:r>
              <w:rPr>
                <w:rFonts w:ascii="Arial" w:hAnsi="Arial" w:cs="Arial"/>
                <w:sz w:val="18"/>
                <w:szCs w:val="18"/>
                <w:highlight w:val="yellow"/>
              </w:rPr>
              <w:t xml:space="preserve">Art. 9 WPDG, Art. 10 WPDG, </w:t>
            </w:r>
            <w:r w:rsidR="004725A1">
              <w:rPr>
                <w:rFonts w:ascii="Arial" w:hAnsi="Arial" w:cs="Arial"/>
                <w:sz w:val="18"/>
                <w:szCs w:val="18"/>
                <w:highlight w:val="yellow"/>
              </w:rPr>
              <w:t xml:space="preserve">Art. 12 WPDG, </w:t>
            </w:r>
            <w:r>
              <w:rPr>
                <w:rFonts w:ascii="Arial" w:hAnsi="Arial" w:cs="Arial"/>
                <w:sz w:val="18"/>
                <w:szCs w:val="18"/>
                <w:highlight w:val="yellow"/>
              </w:rPr>
              <w:t xml:space="preserve">Art. 20 f WPDG, </w:t>
            </w:r>
            <w:r w:rsidR="004725A1">
              <w:rPr>
                <w:rFonts w:ascii="Arial" w:hAnsi="Arial" w:cs="Arial"/>
                <w:sz w:val="18"/>
                <w:szCs w:val="18"/>
                <w:highlight w:val="yellow"/>
              </w:rPr>
              <w:t xml:space="preserve">Art. 4 WPDG iVm Art. 13-14 WPFG, Art. 17 WPFG, Art. 21-27 WPFG, </w:t>
            </w:r>
            <w:r w:rsidR="00CC5892" w:rsidRPr="00CB3EE6">
              <w:rPr>
                <w:rFonts w:ascii="Arial" w:hAnsi="Arial" w:cs="Arial"/>
                <w:sz w:val="18"/>
                <w:szCs w:val="18"/>
                <w:highlight w:val="yellow"/>
              </w:rPr>
              <w:t>FMA-Wegleitung 2018/8</w:t>
            </w:r>
            <w:r w:rsidR="00812236">
              <w:rPr>
                <w:rFonts w:ascii="Arial" w:hAnsi="Arial" w:cs="Arial"/>
                <w:sz w:val="18"/>
                <w:szCs w:val="18"/>
                <w:highlight w:val="yellow"/>
              </w:rPr>
              <w:t>; ESMA-35-43-3006 (Leitlinie)</w:t>
            </w:r>
          </w:p>
          <w:p w14:paraId="08BE086F" w14:textId="61F18728" w:rsidR="00A54C28" w:rsidRPr="009872F3" w:rsidRDefault="00A54C28" w:rsidP="004725A1">
            <w:pPr>
              <w:jc w:val="both"/>
              <w:rPr>
                <w:rFonts w:ascii="Arial" w:hAnsi="Arial" w:cs="Arial"/>
                <w:sz w:val="18"/>
                <w:szCs w:val="18"/>
              </w:rPr>
            </w:pPr>
          </w:p>
        </w:tc>
      </w:tr>
      <w:tr w:rsidR="00CC5892" w:rsidRPr="009872F3" w14:paraId="7C6FCD10" w14:textId="77777777" w:rsidTr="00CB3EE6">
        <w:trPr>
          <w:trHeight w:val="294"/>
        </w:trPr>
        <w:tc>
          <w:tcPr>
            <w:tcW w:w="3775" w:type="dxa"/>
            <w:gridSpan w:val="2"/>
          </w:tcPr>
          <w:p w14:paraId="6FECBA62" w14:textId="77777777" w:rsidR="00CC5892" w:rsidRPr="009872F3" w:rsidRDefault="00CC5892" w:rsidP="008C7535">
            <w:pPr>
              <w:jc w:val="both"/>
              <w:rPr>
                <w:rFonts w:ascii="Arial" w:hAnsi="Arial" w:cs="Arial"/>
                <w:sz w:val="18"/>
                <w:szCs w:val="18"/>
              </w:rPr>
            </w:pPr>
          </w:p>
        </w:tc>
        <w:tc>
          <w:tcPr>
            <w:tcW w:w="5965" w:type="dxa"/>
            <w:gridSpan w:val="2"/>
          </w:tcPr>
          <w:p w14:paraId="67B7421A" w14:textId="77777777" w:rsidR="00CC5892" w:rsidRPr="009872F3" w:rsidRDefault="00CC5892" w:rsidP="008C7535">
            <w:pPr>
              <w:jc w:val="both"/>
              <w:rPr>
                <w:rFonts w:ascii="Arial" w:hAnsi="Arial" w:cs="Arial"/>
                <w:sz w:val="18"/>
                <w:szCs w:val="18"/>
              </w:rPr>
            </w:pPr>
          </w:p>
        </w:tc>
      </w:tr>
      <w:tr w:rsidR="004B12AF" w:rsidRPr="009872F3" w14:paraId="1700574D" w14:textId="77777777" w:rsidTr="00CB3EE6">
        <w:tc>
          <w:tcPr>
            <w:tcW w:w="5913" w:type="dxa"/>
            <w:gridSpan w:val="3"/>
          </w:tcPr>
          <w:p w14:paraId="681AD50C" w14:textId="77777777" w:rsidR="004B12AF" w:rsidRPr="00CB3EE6" w:rsidRDefault="00130556" w:rsidP="00130556">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686C1F79" w14:textId="77777777" w:rsidR="004B12AF" w:rsidRPr="00C3479D" w:rsidRDefault="004B12AF"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4B12AF" w:rsidRPr="009872F3" w14:paraId="02DC47E5" w14:textId="77777777" w:rsidTr="00093B3E">
        <w:tc>
          <w:tcPr>
            <w:tcW w:w="5913" w:type="dxa"/>
            <w:gridSpan w:val="3"/>
          </w:tcPr>
          <w:p w14:paraId="0321DF7F" w14:textId="77777777" w:rsidR="004B12AF" w:rsidRPr="009872F3" w:rsidRDefault="00130556" w:rsidP="008C7535">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587B94B" w14:textId="77777777" w:rsidR="004B12AF" w:rsidRPr="00E109DF" w:rsidRDefault="004B12AF" w:rsidP="008C7535">
            <w:pPr>
              <w:jc w:val="both"/>
              <w:rPr>
                <w:rFonts w:ascii="Arial" w:hAnsi="Arial" w:cs="Arial"/>
                <w:i/>
                <w:sz w:val="18"/>
                <w:szCs w:val="18"/>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4B12AF" w:rsidRPr="009872F3" w14:paraId="43CD701D" w14:textId="77777777" w:rsidTr="00093B3E">
        <w:tc>
          <w:tcPr>
            <w:tcW w:w="5913" w:type="dxa"/>
            <w:gridSpan w:val="3"/>
          </w:tcPr>
          <w:p w14:paraId="57BED7E8" w14:textId="77777777" w:rsidR="004B12AF" w:rsidRDefault="00130556" w:rsidP="008C7535">
            <w:pPr>
              <w:jc w:val="both"/>
              <w:rPr>
                <w:rFonts w:ascii="Arial" w:hAnsi="Arial" w:cs="Arial"/>
                <w:sz w:val="18"/>
                <w:szCs w:val="18"/>
              </w:rPr>
            </w:pPr>
            <w:r w:rsidRPr="00667026">
              <w:rPr>
                <w:rFonts w:ascii="Arial" w:hAnsi="Arial" w:cs="Arial"/>
                <w:i/>
                <w:sz w:val="18"/>
                <w:szCs w:val="18"/>
                <w:highlight w:val="yellow"/>
              </w:rPr>
              <w:lastRenderedPageBreak/>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4F6DD692" w14:textId="77777777" w:rsidR="004B12AF" w:rsidRPr="00E109DF" w:rsidRDefault="004B12AF" w:rsidP="008C7535">
            <w:pPr>
              <w:jc w:val="both"/>
              <w:rPr>
                <w:rFonts w:ascii="Arial" w:hAnsi="Arial" w:cs="Arial"/>
                <w:i/>
                <w:sz w:val="18"/>
                <w:szCs w:val="18"/>
                <w:highlight w:val="yellow"/>
              </w:rPr>
            </w:pPr>
            <w:r w:rsidRPr="00C3479D">
              <w:rPr>
                <w:rFonts w:ascii="Arial" w:hAnsi="Arial" w:cs="Arial"/>
                <w:i/>
                <w:sz w:val="18"/>
                <w:szCs w:val="18"/>
                <w:highlight w:val="yellow"/>
              </w:rPr>
              <w:t>Ja (</w:t>
            </w:r>
            <w:r w:rsidR="0071465F">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3B52D08B" w14:textId="77777777" w:rsidR="001B7BDD" w:rsidRDefault="001B7BDD" w:rsidP="00CB3EE6">
      <w:pPr>
        <w:jc w:val="both"/>
      </w:pPr>
    </w:p>
    <w:tbl>
      <w:tblPr>
        <w:tblStyle w:val="Tabellenraster"/>
        <w:tblW w:w="9740" w:type="dxa"/>
        <w:tblLayout w:type="fixed"/>
        <w:tblLook w:val="04A0" w:firstRow="1" w:lastRow="0" w:firstColumn="1" w:lastColumn="0" w:noHBand="0" w:noVBand="1"/>
      </w:tblPr>
      <w:tblGrid>
        <w:gridCol w:w="1668"/>
        <w:gridCol w:w="5313"/>
        <w:gridCol w:w="2759"/>
      </w:tblGrid>
      <w:tr w:rsidR="00130556" w:rsidRPr="00CE3194" w14:paraId="3A8E6520" w14:textId="77777777" w:rsidTr="009E4FE7">
        <w:tc>
          <w:tcPr>
            <w:tcW w:w="1668" w:type="dxa"/>
          </w:tcPr>
          <w:p w14:paraId="73172D53" w14:textId="77777777" w:rsidR="00130556" w:rsidRPr="00CE3194" w:rsidRDefault="00130556" w:rsidP="008C753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5B32B845" w14:textId="77777777" w:rsidR="00130556" w:rsidRPr="00CE3194" w:rsidRDefault="00130556" w:rsidP="008C7535">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43D4174B" w14:textId="77777777" w:rsidR="00130556" w:rsidRDefault="00130556" w:rsidP="008C7535">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130556" w:rsidRPr="00CE3194" w14:paraId="1374F5B2" w14:textId="77777777" w:rsidTr="009E4FE7">
        <w:tc>
          <w:tcPr>
            <w:tcW w:w="1668" w:type="dxa"/>
          </w:tcPr>
          <w:p w14:paraId="03CA3E0B" w14:textId="3BD5AE69"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Anlageberatung</w:t>
            </w:r>
            <w:r w:rsidR="00184216">
              <w:rPr>
                <w:rFonts w:ascii="Arial" w:hAnsi="Arial" w:cs="Arial"/>
                <w:i/>
                <w:sz w:val="20"/>
                <w:szCs w:val="20"/>
                <w:highlight w:val="lightGray"/>
              </w:rPr>
              <w:t xml:space="preserve"> (u.a. 9, 12, 13 WPDG)</w:t>
            </w:r>
          </w:p>
        </w:tc>
        <w:tc>
          <w:tcPr>
            <w:tcW w:w="5313" w:type="dxa"/>
          </w:tcPr>
          <w:p w14:paraId="721A8156" w14:textId="77777777" w:rsidR="00184216" w:rsidRDefault="00130556" w:rsidP="00CB3EE6">
            <w:pPr>
              <w:pStyle w:val="Listenabsatz"/>
              <w:ind w:left="50"/>
              <w:jc w:val="both"/>
              <w:rPr>
                <w:rFonts w:cs="Arial"/>
                <w:i/>
                <w:szCs w:val="20"/>
                <w:highlight w:val="lightGray"/>
              </w:rPr>
            </w:pPr>
            <w:r w:rsidRPr="005905B2">
              <w:rPr>
                <w:rFonts w:cs="Arial"/>
                <w:i/>
                <w:szCs w:val="20"/>
                <w:highlight w:val="lightGray"/>
              </w:rPr>
              <w:t xml:space="preserve">Die </w:t>
            </w:r>
            <w:r w:rsidR="00184216">
              <w:rPr>
                <w:rFonts w:cs="Arial"/>
                <w:i/>
                <w:szCs w:val="20"/>
                <w:highlight w:val="lightGray"/>
              </w:rPr>
              <w:t>Revisionsstelle prüft die Einhaltung der Vorschriften im Hinblick auf die Anlageberatung, insbesondere in Bezug auf die nachfolgenden Punkte:</w:t>
            </w:r>
          </w:p>
          <w:p w14:paraId="7F50E2BC" w14:textId="77777777" w:rsidR="00184216" w:rsidRDefault="00184216" w:rsidP="00CB3EE6">
            <w:pPr>
              <w:pStyle w:val="Listenabsatz"/>
              <w:ind w:left="50"/>
              <w:jc w:val="both"/>
              <w:rPr>
                <w:rFonts w:cs="Arial"/>
                <w:i/>
                <w:szCs w:val="20"/>
                <w:highlight w:val="lightGray"/>
              </w:rPr>
            </w:pPr>
            <w:r>
              <w:rPr>
                <w:rFonts w:cs="Arial"/>
                <w:i/>
                <w:szCs w:val="20"/>
                <w:highlight w:val="lightGray"/>
              </w:rPr>
              <w:t>- Prüfung, ob Anlageberatung angeboten wird</w:t>
            </w:r>
          </w:p>
          <w:p w14:paraId="3BC1CF97" w14:textId="599B615A" w:rsidR="00282AF0" w:rsidRDefault="00184216" w:rsidP="00CB3EE6">
            <w:pPr>
              <w:pStyle w:val="Listenabsatz"/>
              <w:ind w:left="50"/>
              <w:jc w:val="both"/>
              <w:rPr>
                <w:rFonts w:cs="Arial"/>
                <w:i/>
                <w:szCs w:val="20"/>
                <w:highlight w:val="lightGray"/>
              </w:rPr>
            </w:pPr>
            <w:r>
              <w:rPr>
                <w:rFonts w:cs="Arial"/>
                <w:i/>
                <w:szCs w:val="20"/>
                <w:highlight w:val="lightGray"/>
              </w:rPr>
              <w:t>- Unabhängigkeit/nicht-unabhängige Anlageberatung (Anlageberatungsvertrag, Prozess, angebotene Produktepalette, Einhaltung der Informationspflichten)</w:t>
            </w:r>
          </w:p>
          <w:p w14:paraId="62DC900F" w14:textId="703073AE" w:rsidR="00130556" w:rsidRPr="00282AF0" w:rsidRDefault="00184216" w:rsidP="009E4FE7">
            <w:pPr>
              <w:pStyle w:val="Listenabsatz"/>
              <w:ind w:left="50"/>
              <w:jc w:val="both"/>
              <w:rPr>
                <w:highlight w:val="lightGray"/>
              </w:rPr>
            </w:pPr>
            <w:r w:rsidRPr="009E4FE7">
              <w:rPr>
                <w:rFonts w:cs="Arial"/>
                <w:i/>
                <w:szCs w:val="20"/>
                <w:highlight w:val="lightGray"/>
              </w:rPr>
              <w:t>- Organisatorische Anforderungen bei der Erbringung von unabhängiger und nicht-unabhängiger Anlageberatung</w:t>
            </w:r>
            <w:r w:rsidRPr="00282AF0">
              <w:rPr>
                <w:highlight w:val="lightGray"/>
              </w:rPr>
              <w:t xml:space="preserve"> </w:t>
            </w:r>
          </w:p>
        </w:tc>
        <w:tc>
          <w:tcPr>
            <w:tcW w:w="2759" w:type="dxa"/>
          </w:tcPr>
          <w:p w14:paraId="428F6DD2" w14:textId="77777777" w:rsidR="00130556" w:rsidRPr="000C756C" w:rsidRDefault="005905B2">
            <w:pPr>
              <w:pStyle w:val="Listenabsatz"/>
              <w:ind w:left="50"/>
              <w:jc w:val="both"/>
              <w:rPr>
                <w:rFonts w:cs="Arial"/>
                <w:i/>
                <w:szCs w:val="20"/>
                <w:highlight w:val="lightGray"/>
              </w:rPr>
            </w:pPr>
            <w:r w:rsidRPr="000C756C">
              <w:rPr>
                <w:rFonts w:cs="Arial"/>
                <w:i/>
                <w:szCs w:val="20"/>
                <w:highlight w:val="lightGray"/>
              </w:rPr>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Anlageberatung eingehalten werden</w:t>
            </w:r>
            <w:r w:rsidRPr="000C756C" w:rsidDel="005905B2">
              <w:rPr>
                <w:rFonts w:cs="Arial"/>
                <w:i/>
                <w:szCs w:val="20"/>
                <w:highlight w:val="lightGray"/>
              </w:rPr>
              <w:t xml:space="preserve"> </w:t>
            </w:r>
          </w:p>
        </w:tc>
      </w:tr>
      <w:tr w:rsidR="00130556" w:rsidRPr="00CE3194" w14:paraId="3838E445" w14:textId="77777777" w:rsidTr="009E4FE7">
        <w:tc>
          <w:tcPr>
            <w:tcW w:w="1668" w:type="dxa"/>
          </w:tcPr>
          <w:p w14:paraId="0902706E" w14:textId="33159306"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Bestmögliche Ausführung von Kundenaufträgen</w:t>
            </w:r>
            <w:r w:rsidR="00184216">
              <w:rPr>
                <w:rFonts w:ascii="Arial" w:hAnsi="Arial" w:cs="Arial"/>
                <w:i/>
                <w:sz w:val="20"/>
                <w:szCs w:val="20"/>
                <w:highlight w:val="lightGray"/>
              </w:rPr>
              <w:t xml:space="preserve"> (u.a. Art. 20 f WPDG)</w:t>
            </w:r>
          </w:p>
        </w:tc>
        <w:tc>
          <w:tcPr>
            <w:tcW w:w="5313" w:type="dxa"/>
          </w:tcPr>
          <w:p w14:paraId="1288834E" w14:textId="15AE3FF8" w:rsidR="00184216" w:rsidRDefault="00184216" w:rsidP="00184216">
            <w:pPr>
              <w:pStyle w:val="Listenabsatz"/>
              <w:ind w:left="0"/>
              <w:jc w:val="both"/>
              <w:rPr>
                <w:rFonts w:cs="Arial"/>
                <w:i/>
                <w:szCs w:val="20"/>
                <w:highlight w:val="lightGray"/>
              </w:rPr>
            </w:pPr>
            <w:r w:rsidRPr="005905B2">
              <w:rPr>
                <w:rFonts w:cs="Arial"/>
                <w:i/>
                <w:szCs w:val="20"/>
                <w:highlight w:val="lightGray"/>
              </w:rPr>
              <w:t xml:space="preserve">Die </w:t>
            </w:r>
            <w:r>
              <w:rPr>
                <w:rFonts w:cs="Arial"/>
                <w:i/>
                <w:szCs w:val="20"/>
                <w:highlight w:val="lightGray"/>
              </w:rPr>
              <w:t>Revisionsstelle prüft die Einhaltung der Vorschriften im Hinblick auf die bestmögliche Ausführung von Kundenaufträgen, insbesondere in Bezug auf nachfolgende Punkte:</w:t>
            </w:r>
          </w:p>
          <w:p w14:paraId="58D8BB79" w14:textId="167DA725" w:rsidR="00184216" w:rsidRDefault="00184216" w:rsidP="00184216">
            <w:pPr>
              <w:pStyle w:val="Listenabsatz"/>
              <w:ind w:left="0"/>
              <w:jc w:val="both"/>
              <w:rPr>
                <w:rFonts w:cs="Arial"/>
                <w:i/>
                <w:szCs w:val="20"/>
                <w:highlight w:val="lightGray"/>
                <w:lang w:val="en-US"/>
              </w:rPr>
            </w:pPr>
            <w:r w:rsidRPr="00A938AE">
              <w:rPr>
                <w:rFonts w:cs="Arial"/>
                <w:i/>
                <w:szCs w:val="20"/>
                <w:highlight w:val="lightGray"/>
                <w:lang w:val="en-US"/>
              </w:rPr>
              <w:t>- Best Execution Policy / Interne Weisung</w:t>
            </w:r>
          </w:p>
          <w:p w14:paraId="6D81FF92" w14:textId="4B9F4FE4" w:rsidR="00184216" w:rsidRPr="00F40152" w:rsidRDefault="00184216" w:rsidP="00184216">
            <w:pPr>
              <w:pStyle w:val="Listenabsatz"/>
              <w:ind w:left="0"/>
              <w:jc w:val="both"/>
              <w:rPr>
                <w:rFonts w:cs="Arial"/>
                <w:i/>
                <w:szCs w:val="20"/>
                <w:highlight w:val="lightGray"/>
                <w:lang w:val="en-US"/>
              </w:rPr>
            </w:pPr>
            <w:r w:rsidRPr="00F40152">
              <w:rPr>
                <w:rFonts w:cs="Arial"/>
                <w:i/>
                <w:szCs w:val="20"/>
                <w:highlight w:val="lightGray"/>
                <w:lang w:val="en-US"/>
              </w:rPr>
              <w:t>- Organisation</w:t>
            </w:r>
          </w:p>
          <w:p w14:paraId="39C8AB4E" w14:textId="72DA8D11" w:rsidR="00184216" w:rsidRDefault="00184216" w:rsidP="00184216">
            <w:pPr>
              <w:pStyle w:val="Listenabsatz"/>
              <w:ind w:left="0"/>
              <w:jc w:val="both"/>
              <w:rPr>
                <w:rFonts w:cs="Arial"/>
                <w:i/>
                <w:szCs w:val="20"/>
                <w:highlight w:val="lightGray"/>
              </w:rPr>
            </w:pPr>
            <w:r w:rsidRPr="00A938AE">
              <w:rPr>
                <w:rFonts w:cs="Arial"/>
                <w:i/>
                <w:szCs w:val="20"/>
                <w:highlight w:val="lightGray"/>
              </w:rPr>
              <w:t>- Information und Berichterstattung gegenüber K</w:t>
            </w:r>
            <w:r>
              <w:rPr>
                <w:rFonts w:cs="Arial"/>
                <w:i/>
                <w:szCs w:val="20"/>
                <w:highlight w:val="lightGray"/>
              </w:rPr>
              <w:t>unden</w:t>
            </w:r>
          </w:p>
          <w:p w14:paraId="4562BA37" w14:textId="0350B460" w:rsidR="00184216" w:rsidRDefault="00184216" w:rsidP="00184216">
            <w:pPr>
              <w:pStyle w:val="Listenabsatz"/>
              <w:ind w:left="0"/>
              <w:jc w:val="both"/>
              <w:rPr>
                <w:rFonts w:cs="Arial"/>
                <w:i/>
                <w:szCs w:val="20"/>
                <w:highlight w:val="lightGray"/>
              </w:rPr>
            </w:pPr>
            <w:r>
              <w:rPr>
                <w:rFonts w:cs="Arial"/>
                <w:i/>
                <w:szCs w:val="20"/>
                <w:highlight w:val="lightGray"/>
              </w:rPr>
              <w:t>- Preisermittlung</w:t>
            </w:r>
          </w:p>
          <w:p w14:paraId="4F06B85D" w14:textId="4F40675A" w:rsidR="00130556" w:rsidRPr="00282AF0" w:rsidRDefault="00184216" w:rsidP="009E4FE7">
            <w:pPr>
              <w:pStyle w:val="Listenabsatz"/>
              <w:ind w:left="0"/>
              <w:jc w:val="both"/>
              <w:rPr>
                <w:highlight w:val="lightGray"/>
              </w:rPr>
            </w:pPr>
            <w:r>
              <w:rPr>
                <w:rFonts w:cs="Arial"/>
                <w:i/>
                <w:szCs w:val="20"/>
                <w:highlight w:val="lightGray"/>
              </w:rPr>
              <w:t>- Angemessene Einhaltung der Veröffentlichungs-, Überprüfungs- und Nachweispflichten</w:t>
            </w:r>
          </w:p>
        </w:tc>
        <w:tc>
          <w:tcPr>
            <w:tcW w:w="2759" w:type="dxa"/>
          </w:tcPr>
          <w:p w14:paraId="4FDBA43F" w14:textId="7511A9B9" w:rsidR="00130556" w:rsidRPr="000C756C" w:rsidRDefault="005905B2" w:rsidP="00494050">
            <w:pPr>
              <w:pStyle w:val="Listenabsatz"/>
              <w:ind w:left="50"/>
              <w:jc w:val="both"/>
              <w:rPr>
                <w:rFonts w:cs="Arial"/>
                <w:i/>
                <w:szCs w:val="20"/>
                <w:highlight w:val="lightGray"/>
              </w:rPr>
            </w:pPr>
            <w:r w:rsidRPr="000C756C">
              <w:rPr>
                <w:rFonts w:cs="Arial"/>
                <w:i/>
                <w:szCs w:val="20"/>
                <w:highlight w:val="lightGray"/>
              </w:rPr>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bestmögliche Ausführung von </w:t>
            </w:r>
            <w:r w:rsidR="00CF66E4">
              <w:rPr>
                <w:rFonts w:cs="Arial"/>
                <w:i/>
                <w:szCs w:val="20"/>
                <w:highlight w:val="lightGray"/>
              </w:rPr>
              <w:t>Kundenaufträgen</w:t>
            </w:r>
            <w:r w:rsidR="00CF66E4" w:rsidRPr="000C756C">
              <w:rPr>
                <w:rFonts w:cs="Arial"/>
                <w:i/>
                <w:szCs w:val="20"/>
                <w:highlight w:val="lightGray"/>
              </w:rPr>
              <w:t xml:space="preserve"> </w:t>
            </w:r>
            <w:r w:rsidRPr="000C756C">
              <w:rPr>
                <w:rFonts w:cs="Arial"/>
                <w:i/>
                <w:szCs w:val="20"/>
                <w:highlight w:val="lightGray"/>
              </w:rPr>
              <w:t>eingehalten werden</w:t>
            </w:r>
          </w:p>
        </w:tc>
      </w:tr>
      <w:tr w:rsidR="00130556" w:rsidRPr="00CE3194" w14:paraId="42597206" w14:textId="77777777" w:rsidTr="009E4FE7">
        <w:tc>
          <w:tcPr>
            <w:tcW w:w="1668" w:type="dxa"/>
          </w:tcPr>
          <w:p w14:paraId="799A0DAB" w14:textId="41A90921" w:rsidR="00130556" w:rsidRPr="005905B2" w:rsidRDefault="00750A70" w:rsidP="008C7535">
            <w:pPr>
              <w:jc w:val="both"/>
              <w:rPr>
                <w:rFonts w:ascii="Arial" w:hAnsi="Arial" w:cs="Arial"/>
                <w:i/>
                <w:sz w:val="20"/>
                <w:szCs w:val="20"/>
                <w:highlight w:val="lightGray"/>
              </w:rPr>
            </w:pPr>
            <w:r>
              <w:rPr>
                <w:rFonts w:ascii="Arial" w:hAnsi="Arial" w:cs="Arial"/>
                <w:i/>
                <w:sz w:val="20"/>
                <w:szCs w:val="20"/>
                <w:highlight w:val="lightGray"/>
              </w:rPr>
              <w:t>Geeignetheit</w:t>
            </w:r>
            <w:r w:rsidR="00130556" w:rsidRPr="005905B2">
              <w:rPr>
                <w:rFonts w:ascii="Arial" w:hAnsi="Arial" w:cs="Arial"/>
                <w:i/>
                <w:sz w:val="20"/>
                <w:szCs w:val="20"/>
                <w:highlight w:val="lightGray"/>
              </w:rPr>
              <w:t xml:space="preserve"> und Angemessenheit</w:t>
            </w:r>
            <w:r w:rsidR="009A51C0">
              <w:rPr>
                <w:rFonts w:ascii="Arial" w:hAnsi="Arial" w:cs="Arial"/>
                <w:i/>
                <w:sz w:val="20"/>
                <w:szCs w:val="20"/>
                <w:highlight w:val="lightGray"/>
              </w:rPr>
              <w:t xml:space="preserve"> (u.a. Art. 12 WPDG)</w:t>
            </w:r>
          </w:p>
        </w:tc>
        <w:tc>
          <w:tcPr>
            <w:tcW w:w="5313" w:type="dxa"/>
          </w:tcPr>
          <w:p w14:paraId="11FD3F39" w14:textId="766D6098" w:rsidR="00750A70" w:rsidRDefault="00750A70" w:rsidP="00750A70">
            <w:pPr>
              <w:pStyle w:val="Listenabsatz"/>
              <w:ind w:left="34"/>
              <w:jc w:val="both"/>
              <w:rPr>
                <w:rFonts w:cs="Arial"/>
                <w:i/>
                <w:szCs w:val="20"/>
                <w:highlight w:val="lightGray"/>
              </w:rPr>
            </w:pPr>
            <w:r>
              <w:rPr>
                <w:rFonts w:cs="Arial"/>
                <w:i/>
                <w:szCs w:val="20"/>
                <w:highlight w:val="lightGray"/>
              </w:rPr>
              <w:t>Die Revisionsstelle prüft die Einhaltung der Vorschriften im Hinblick auf die Beurteilung der Eignung und Angemessenheit, insbesondere in Bezug auf nachfolgende Punkte</w:t>
            </w:r>
            <w:r w:rsidR="007B4F7B">
              <w:rPr>
                <w:rFonts w:cs="Arial"/>
                <w:i/>
                <w:szCs w:val="20"/>
                <w:highlight w:val="lightGray"/>
              </w:rPr>
              <w:t xml:space="preserve"> </w:t>
            </w:r>
            <w:r w:rsidR="006A1C0D">
              <w:rPr>
                <w:rFonts w:cs="Arial"/>
                <w:i/>
                <w:szCs w:val="20"/>
                <w:highlight w:val="lightGray"/>
              </w:rPr>
              <w:t>(u.a. unter Berücksichtigung ganz oder teilweiser Eignung- und Angemessenheitsprüfung mittels eines voll- oder halbautomatischen Systems (Robo-Advice).</w:t>
            </w:r>
            <w:r>
              <w:rPr>
                <w:rFonts w:cs="Arial"/>
                <w:i/>
                <w:szCs w:val="20"/>
                <w:highlight w:val="lightGray"/>
              </w:rPr>
              <w:t>:</w:t>
            </w:r>
          </w:p>
          <w:p w14:paraId="03750810" w14:textId="39941C08" w:rsidR="00750A70" w:rsidRDefault="00750A70" w:rsidP="00750A70">
            <w:pPr>
              <w:pStyle w:val="Listenabsatz"/>
              <w:ind w:left="34"/>
              <w:jc w:val="both"/>
              <w:rPr>
                <w:rFonts w:cs="Arial"/>
                <w:i/>
                <w:szCs w:val="20"/>
                <w:highlight w:val="lightGray"/>
              </w:rPr>
            </w:pPr>
            <w:r>
              <w:rPr>
                <w:rFonts w:cs="Arial"/>
                <w:i/>
                <w:szCs w:val="20"/>
                <w:highlight w:val="lightGray"/>
              </w:rPr>
              <w:t>- interne Weisungen</w:t>
            </w:r>
          </w:p>
          <w:p w14:paraId="02043959" w14:textId="7B682F81" w:rsidR="00750A70" w:rsidRDefault="00750A70" w:rsidP="00750A70">
            <w:pPr>
              <w:pStyle w:val="Listenabsatz"/>
              <w:ind w:left="34"/>
              <w:jc w:val="both"/>
              <w:rPr>
                <w:rFonts w:cs="Arial"/>
                <w:i/>
                <w:szCs w:val="20"/>
                <w:highlight w:val="lightGray"/>
              </w:rPr>
            </w:pPr>
            <w:r>
              <w:rPr>
                <w:rFonts w:cs="Arial"/>
                <w:i/>
                <w:szCs w:val="20"/>
                <w:highlight w:val="lightGray"/>
              </w:rPr>
              <w:t>- Organisation</w:t>
            </w:r>
            <w:r w:rsidR="006A1C0D">
              <w:rPr>
                <w:rFonts w:cs="Arial"/>
                <w:i/>
                <w:szCs w:val="20"/>
                <w:highlight w:val="lightGray"/>
              </w:rPr>
              <w:t xml:space="preserve"> </w:t>
            </w:r>
          </w:p>
          <w:p w14:paraId="529C090C" w14:textId="1F3957F3" w:rsidR="00750A70" w:rsidRDefault="00750A70" w:rsidP="00750A70">
            <w:pPr>
              <w:pStyle w:val="Listenabsatz"/>
              <w:ind w:left="34"/>
              <w:jc w:val="both"/>
              <w:rPr>
                <w:rFonts w:cs="Arial"/>
                <w:i/>
                <w:szCs w:val="20"/>
                <w:highlight w:val="lightGray"/>
              </w:rPr>
            </w:pPr>
            <w:r>
              <w:rPr>
                <w:rFonts w:cs="Arial"/>
                <w:i/>
                <w:szCs w:val="20"/>
                <w:highlight w:val="lightGray"/>
              </w:rPr>
              <w:t>- Einholung der Informationen über den Kunden, einschliesslich der Nachhaltigkeitspräferenzen</w:t>
            </w:r>
          </w:p>
          <w:p w14:paraId="75EFB574" w14:textId="246E2A72" w:rsidR="00750A70" w:rsidRDefault="00750A70" w:rsidP="00750A70">
            <w:pPr>
              <w:pStyle w:val="Listenabsatz"/>
              <w:ind w:left="34"/>
              <w:jc w:val="both"/>
              <w:rPr>
                <w:rFonts w:cs="Arial"/>
                <w:i/>
                <w:szCs w:val="20"/>
                <w:highlight w:val="lightGray"/>
              </w:rPr>
            </w:pPr>
            <w:r>
              <w:rPr>
                <w:rFonts w:cs="Arial"/>
                <w:i/>
                <w:szCs w:val="20"/>
                <w:highlight w:val="lightGray"/>
              </w:rPr>
              <w:t>- Durchführung der S&amp;A-Tests</w:t>
            </w:r>
            <w:r w:rsidR="006A1C0D">
              <w:rPr>
                <w:rFonts w:cs="Arial"/>
                <w:i/>
                <w:szCs w:val="20"/>
                <w:highlight w:val="lightGray"/>
              </w:rPr>
              <w:t xml:space="preserve"> </w:t>
            </w:r>
          </w:p>
          <w:p w14:paraId="6A4A1F66" w14:textId="6C514F64" w:rsidR="00750A70" w:rsidRDefault="00750A70" w:rsidP="00750A70">
            <w:pPr>
              <w:pStyle w:val="Listenabsatz"/>
              <w:ind w:left="34"/>
              <w:jc w:val="both"/>
              <w:rPr>
                <w:rFonts w:cs="Arial"/>
                <w:i/>
                <w:szCs w:val="20"/>
                <w:highlight w:val="lightGray"/>
              </w:rPr>
            </w:pPr>
            <w:r>
              <w:rPr>
                <w:rFonts w:cs="Arial"/>
                <w:i/>
                <w:szCs w:val="20"/>
                <w:highlight w:val="lightGray"/>
              </w:rPr>
              <w:t>- Umschichtung von Anlagen</w:t>
            </w:r>
          </w:p>
          <w:p w14:paraId="065F97B5" w14:textId="25EBC4FD" w:rsidR="00750A70" w:rsidRDefault="00750A70" w:rsidP="00750A70">
            <w:pPr>
              <w:pStyle w:val="Listenabsatz"/>
              <w:ind w:left="34"/>
              <w:jc w:val="both"/>
              <w:rPr>
                <w:rFonts w:cs="Arial"/>
                <w:i/>
                <w:szCs w:val="20"/>
                <w:highlight w:val="lightGray"/>
              </w:rPr>
            </w:pPr>
            <w:r>
              <w:rPr>
                <w:rFonts w:cs="Arial"/>
                <w:i/>
                <w:szCs w:val="20"/>
                <w:highlight w:val="lightGray"/>
              </w:rPr>
              <w:t>- Vereinbarungen bei Portfolioverwaltungsdienstleistungen und allgemeine Überwachung der Anlagevorschriften</w:t>
            </w:r>
          </w:p>
          <w:p w14:paraId="39A9B9FF" w14:textId="3F512B8D" w:rsidR="006A1C0D" w:rsidRDefault="00750A70" w:rsidP="00750A70">
            <w:pPr>
              <w:pStyle w:val="Listenabsatz"/>
              <w:ind w:left="34"/>
              <w:jc w:val="both"/>
              <w:rPr>
                <w:rFonts w:cs="Arial"/>
                <w:i/>
                <w:szCs w:val="20"/>
                <w:highlight w:val="lightGray"/>
              </w:rPr>
            </w:pPr>
            <w:r>
              <w:rPr>
                <w:rFonts w:cs="Arial"/>
                <w:i/>
                <w:szCs w:val="20"/>
                <w:highlight w:val="lightGray"/>
              </w:rPr>
              <w:t>- Produktauswahl und potenzielle Interessenkonflikte</w:t>
            </w:r>
          </w:p>
          <w:p w14:paraId="6E66BBA2" w14:textId="2EE401E7" w:rsidR="00750A70" w:rsidRDefault="00750A70" w:rsidP="00750A70">
            <w:pPr>
              <w:pStyle w:val="Listenabsatz"/>
              <w:ind w:left="34"/>
              <w:jc w:val="both"/>
              <w:rPr>
                <w:rFonts w:cs="Arial"/>
                <w:i/>
                <w:szCs w:val="20"/>
                <w:highlight w:val="lightGray"/>
              </w:rPr>
            </w:pPr>
            <w:r>
              <w:rPr>
                <w:rFonts w:cs="Arial"/>
                <w:i/>
                <w:szCs w:val="20"/>
                <w:highlight w:val="lightGray"/>
              </w:rPr>
              <w:t>- Dokumentation</w:t>
            </w:r>
          </w:p>
          <w:p w14:paraId="7BECE13C" w14:textId="27E99A81" w:rsidR="00130556" w:rsidRPr="00282AF0" w:rsidRDefault="00750A70" w:rsidP="009E4FE7">
            <w:pPr>
              <w:pStyle w:val="Listenabsatz"/>
              <w:ind w:left="34"/>
              <w:jc w:val="both"/>
              <w:rPr>
                <w:highlight w:val="lightGray"/>
              </w:rPr>
            </w:pPr>
            <w:r>
              <w:rPr>
                <w:rFonts w:cs="Arial"/>
                <w:i/>
                <w:szCs w:val="20"/>
                <w:highlight w:val="lightGray"/>
              </w:rPr>
              <w:t>- Reporting und Berichtspflichten gegenüber dem Kunden</w:t>
            </w:r>
          </w:p>
        </w:tc>
        <w:tc>
          <w:tcPr>
            <w:tcW w:w="2759" w:type="dxa"/>
          </w:tcPr>
          <w:p w14:paraId="4989B109" w14:textId="27027031" w:rsidR="00130556" w:rsidRPr="000C756C" w:rsidRDefault="005905B2" w:rsidP="00494050">
            <w:pPr>
              <w:pStyle w:val="Listenabsatz"/>
              <w:ind w:left="50"/>
              <w:jc w:val="both"/>
              <w:rPr>
                <w:rFonts w:cs="Arial"/>
                <w:i/>
                <w:szCs w:val="20"/>
                <w:highlight w:val="lightGray"/>
              </w:rPr>
            </w:pPr>
            <w:r w:rsidRPr="000C756C">
              <w:rPr>
                <w:rFonts w:cs="Arial"/>
                <w:i/>
                <w:szCs w:val="20"/>
                <w:highlight w:val="lightGray"/>
              </w:rPr>
              <w:t>Bestätigung, dass die internen Verfahren sicherstellen, dass die</w:t>
            </w:r>
            <w:r>
              <w:rPr>
                <w:rFonts w:cs="Arial"/>
                <w:i/>
                <w:szCs w:val="20"/>
                <w:highlight w:val="lightGray"/>
              </w:rPr>
              <w:t xml:space="preserve"> gesetzlichen Bestimmungen</w:t>
            </w:r>
            <w:r w:rsidRPr="000C756C">
              <w:rPr>
                <w:rFonts w:cs="Arial"/>
                <w:i/>
                <w:szCs w:val="20"/>
                <w:highlight w:val="lightGray"/>
              </w:rPr>
              <w:t xml:space="preserve"> für die </w:t>
            </w:r>
            <w:r w:rsidR="00CF66E4">
              <w:rPr>
                <w:rFonts w:cs="Arial"/>
                <w:i/>
                <w:szCs w:val="20"/>
                <w:highlight w:val="lightGray"/>
              </w:rPr>
              <w:t>Geeignetheits</w:t>
            </w:r>
            <w:r w:rsidRPr="000C756C">
              <w:rPr>
                <w:rFonts w:cs="Arial"/>
                <w:i/>
                <w:szCs w:val="20"/>
                <w:highlight w:val="lightGray"/>
              </w:rPr>
              <w:t>- und Angemessenheitsprüfung eingehalten werden</w:t>
            </w:r>
          </w:p>
        </w:tc>
      </w:tr>
      <w:tr w:rsidR="00130556" w:rsidRPr="00CE3194" w14:paraId="5AEE2DAD" w14:textId="77777777" w:rsidTr="009E4FE7">
        <w:tc>
          <w:tcPr>
            <w:tcW w:w="1668" w:type="dxa"/>
          </w:tcPr>
          <w:p w14:paraId="7C781C27" w14:textId="3CA57FA2"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Dokumentations-</w:t>
            </w:r>
            <w:r w:rsidR="00E00523">
              <w:rPr>
                <w:rFonts w:ascii="Arial" w:hAnsi="Arial" w:cs="Arial"/>
                <w:i/>
                <w:sz w:val="20"/>
                <w:szCs w:val="20"/>
                <w:highlight w:val="lightGray"/>
              </w:rPr>
              <w:t>, Aufbewahrungs-</w:t>
            </w:r>
            <w:r w:rsidRPr="005905B2">
              <w:rPr>
                <w:rFonts w:ascii="Arial" w:hAnsi="Arial" w:cs="Arial"/>
                <w:i/>
                <w:sz w:val="20"/>
                <w:szCs w:val="20"/>
                <w:highlight w:val="lightGray"/>
              </w:rPr>
              <w:t xml:space="preserve"> und Informationspflichten</w:t>
            </w:r>
            <w:r w:rsidR="00A04651">
              <w:rPr>
                <w:rFonts w:ascii="Arial" w:hAnsi="Arial" w:cs="Arial"/>
                <w:i/>
                <w:sz w:val="20"/>
                <w:szCs w:val="20"/>
                <w:highlight w:val="lightGray"/>
              </w:rPr>
              <w:t xml:space="preserve"> (u.a. Art. 17 WPDG, Art. 9 WPDG, Art. 26 WPFG) </w:t>
            </w:r>
          </w:p>
        </w:tc>
        <w:tc>
          <w:tcPr>
            <w:tcW w:w="5313" w:type="dxa"/>
          </w:tcPr>
          <w:p w14:paraId="20C8BE9B" w14:textId="16B99792" w:rsidR="007B4F7B" w:rsidRDefault="007B4F7B" w:rsidP="007B4F7B">
            <w:pPr>
              <w:pStyle w:val="Listenabsatz"/>
              <w:ind w:left="34"/>
              <w:jc w:val="both"/>
              <w:rPr>
                <w:rFonts w:cs="Arial"/>
                <w:i/>
                <w:szCs w:val="20"/>
                <w:highlight w:val="lightGray"/>
              </w:rPr>
            </w:pPr>
            <w:r>
              <w:rPr>
                <w:rFonts w:cs="Arial"/>
                <w:i/>
                <w:szCs w:val="20"/>
                <w:highlight w:val="lightGray"/>
              </w:rPr>
              <w:t>Die Revisionsstelle prüft die Einhaltung der Vorschriften im Hinblick auf die Dokumentations-, Aufbewahrungs- und Informationspflichten (gegenüber Kunden), insbesondere in Bezug auf nachfolgende Punkte</w:t>
            </w:r>
          </w:p>
          <w:p w14:paraId="4C6BED8E" w14:textId="577374CA" w:rsidR="007B4F7B" w:rsidRDefault="007B4F7B" w:rsidP="007B4F7B">
            <w:pPr>
              <w:pStyle w:val="Listenabsatz"/>
              <w:ind w:left="34"/>
              <w:jc w:val="both"/>
              <w:rPr>
                <w:rFonts w:cs="Arial"/>
                <w:i/>
                <w:szCs w:val="20"/>
                <w:highlight w:val="lightGray"/>
              </w:rPr>
            </w:pPr>
            <w:r>
              <w:rPr>
                <w:rFonts w:cs="Arial"/>
                <w:i/>
                <w:szCs w:val="20"/>
                <w:highlight w:val="lightGray"/>
              </w:rPr>
              <w:t>- Interne Weisungen</w:t>
            </w:r>
          </w:p>
          <w:p w14:paraId="0354585B" w14:textId="445A8F6B" w:rsidR="007B4F7B" w:rsidRDefault="007B4F7B" w:rsidP="007B4F7B">
            <w:pPr>
              <w:pStyle w:val="Listenabsatz"/>
              <w:ind w:left="34"/>
              <w:jc w:val="both"/>
              <w:rPr>
                <w:rFonts w:cs="Arial"/>
                <w:i/>
                <w:szCs w:val="20"/>
                <w:highlight w:val="lightGray"/>
              </w:rPr>
            </w:pPr>
            <w:r>
              <w:rPr>
                <w:rFonts w:cs="Arial"/>
                <w:i/>
                <w:szCs w:val="20"/>
                <w:highlight w:val="lightGray"/>
              </w:rPr>
              <w:t>- Aufzeichnungspflichten Kommunikation und Telefongespräche</w:t>
            </w:r>
          </w:p>
          <w:p w14:paraId="613CDB2E" w14:textId="7E69472A" w:rsidR="007B4F7B" w:rsidRDefault="007B4F7B" w:rsidP="007B4F7B">
            <w:pPr>
              <w:pStyle w:val="Listenabsatz"/>
              <w:ind w:left="34"/>
              <w:jc w:val="both"/>
              <w:rPr>
                <w:rFonts w:cs="Arial"/>
                <w:i/>
                <w:szCs w:val="20"/>
                <w:highlight w:val="lightGray"/>
              </w:rPr>
            </w:pPr>
            <w:r>
              <w:rPr>
                <w:rFonts w:cs="Arial"/>
                <w:i/>
                <w:szCs w:val="20"/>
                <w:highlight w:val="lightGray"/>
              </w:rPr>
              <w:t>- Aufbewahrungspflicht</w:t>
            </w:r>
          </w:p>
          <w:p w14:paraId="27DC0E4B" w14:textId="022CB3E1" w:rsidR="007B4F7B" w:rsidRDefault="007B4F7B" w:rsidP="007B4F7B">
            <w:pPr>
              <w:pStyle w:val="Listenabsatz"/>
              <w:ind w:left="34"/>
              <w:jc w:val="both"/>
              <w:rPr>
                <w:rFonts w:cs="Arial"/>
                <w:i/>
                <w:szCs w:val="20"/>
                <w:highlight w:val="lightGray"/>
              </w:rPr>
            </w:pPr>
            <w:r>
              <w:rPr>
                <w:rFonts w:cs="Arial"/>
                <w:i/>
                <w:szCs w:val="20"/>
                <w:highlight w:val="lightGray"/>
              </w:rPr>
              <w:t>- Offenlegung</w:t>
            </w:r>
          </w:p>
          <w:p w14:paraId="07FD6B66" w14:textId="474A50A0" w:rsidR="007B4F7B" w:rsidRDefault="007B4F7B" w:rsidP="007B4F7B">
            <w:pPr>
              <w:pStyle w:val="Listenabsatz"/>
              <w:ind w:left="34"/>
              <w:jc w:val="both"/>
              <w:rPr>
                <w:rFonts w:cs="Arial"/>
                <w:i/>
                <w:szCs w:val="20"/>
                <w:highlight w:val="lightGray"/>
              </w:rPr>
            </w:pPr>
            <w:r>
              <w:rPr>
                <w:rFonts w:cs="Arial"/>
                <w:i/>
                <w:szCs w:val="20"/>
                <w:highlight w:val="lightGray"/>
              </w:rPr>
              <w:t>- Compliance</w:t>
            </w:r>
          </w:p>
          <w:p w14:paraId="0903D2E2" w14:textId="68F87FEC" w:rsidR="007B4F7B" w:rsidRDefault="007B4F7B" w:rsidP="007B4F7B">
            <w:pPr>
              <w:pStyle w:val="Listenabsatz"/>
              <w:ind w:left="34"/>
              <w:jc w:val="both"/>
              <w:rPr>
                <w:rFonts w:cs="Arial"/>
                <w:i/>
                <w:szCs w:val="20"/>
                <w:highlight w:val="lightGray"/>
              </w:rPr>
            </w:pPr>
            <w:r>
              <w:rPr>
                <w:rFonts w:cs="Arial"/>
                <w:i/>
                <w:szCs w:val="20"/>
                <w:highlight w:val="lightGray"/>
              </w:rPr>
              <w:t>- Kostenreporting</w:t>
            </w:r>
          </w:p>
          <w:p w14:paraId="2050704E" w14:textId="4261748E" w:rsidR="007B4F7B" w:rsidRDefault="007B4F7B" w:rsidP="007B4F7B">
            <w:pPr>
              <w:pStyle w:val="Listenabsatz"/>
              <w:ind w:left="34"/>
              <w:jc w:val="both"/>
              <w:rPr>
                <w:rFonts w:cs="Arial"/>
                <w:i/>
                <w:szCs w:val="20"/>
                <w:highlight w:val="lightGray"/>
              </w:rPr>
            </w:pPr>
            <w:r>
              <w:rPr>
                <w:rFonts w:cs="Arial"/>
                <w:i/>
                <w:szCs w:val="20"/>
                <w:highlight w:val="lightGray"/>
              </w:rPr>
              <w:t>- Ausführungsreporting</w:t>
            </w:r>
          </w:p>
          <w:p w14:paraId="2FC1499F" w14:textId="7D5E8301" w:rsidR="007B4F7B" w:rsidRDefault="007B4F7B" w:rsidP="007B4F7B">
            <w:pPr>
              <w:pStyle w:val="Listenabsatz"/>
              <w:ind w:left="34"/>
              <w:jc w:val="both"/>
              <w:rPr>
                <w:rFonts w:cs="Arial"/>
                <w:i/>
                <w:szCs w:val="20"/>
                <w:highlight w:val="lightGray"/>
              </w:rPr>
            </w:pPr>
            <w:r>
              <w:rPr>
                <w:rFonts w:cs="Arial"/>
                <w:i/>
                <w:szCs w:val="20"/>
                <w:highlight w:val="lightGray"/>
              </w:rPr>
              <w:t xml:space="preserve">- Verwaltungsreporting, </w:t>
            </w:r>
          </w:p>
          <w:p w14:paraId="2DD4C24A" w14:textId="69660813" w:rsidR="007B4F7B" w:rsidRDefault="007B4F7B" w:rsidP="007B4F7B">
            <w:pPr>
              <w:pStyle w:val="Listenabsatz"/>
              <w:ind w:left="34"/>
              <w:jc w:val="both"/>
              <w:rPr>
                <w:rFonts w:cs="Arial"/>
                <w:i/>
                <w:szCs w:val="20"/>
                <w:highlight w:val="lightGray"/>
              </w:rPr>
            </w:pPr>
            <w:r>
              <w:rPr>
                <w:rFonts w:cs="Arial"/>
                <w:i/>
                <w:szCs w:val="20"/>
                <w:highlight w:val="lightGray"/>
              </w:rPr>
              <w:t>- Verlustschwellenreporting</w:t>
            </w:r>
          </w:p>
          <w:p w14:paraId="76816667" w14:textId="6D9DA405" w:rsidR="00130556" w:rsidRPr="00282AF0" w:rsidRDefault="007B4F7B" w:rsidP="009E4FE7">
            <w:pPr>
              <w:pStyle w:val="Listenabsatz"/>
              <w:ind w:left="34"/>
              <w:jc w:val="both"/>
              <w:rPr>
                <w:highlight w:val="lightGray"/>
              </w:rPr>
            </w:pPr>
            <w:r>
              <w:rPr>
                <w:rFonts w:cs="Arial"/>
                <w:i/>
                <w:szCs w:val="20"/>
                <w:highlight w:val="lightGray"/>
              </w:rPr>
              <w:lastRenderedPageBreak/>
              <w:t>- Kundeninformation/Marketingmitteilungen</w:t>
            </w:r>
          </w:p>
        </w:tc>
        <w:tc>
          <w:tcPr>
            <w:tcW w:w="2759" w:type="dxa"/>
          </w:tcPr>
          <w:p w14:paraId="5D427E25" w14:textId="10E63495"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lastRenderedPageBreak/>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für die </w:t>
            </w:r>
            <w:r>
              <w:rPr>
                <w:rFonts w:cs="Arial"/>
                <w:i/>
                <w:szCs w:val="20"/>
                <w:highlight w:val="lightGray"/>
              </w:rPr>
              <w:t>Dokumentations</w:t>
            </w:r>
            <w:r w:rsidR="007B4F7B">
              <w:rPr>
                <w:rFonts w:cs="Arial"/>
                <w:i/>
                <w:szCs w:val="20"/>
                <w:highlight w:val="lightGray"/>
              </w:rPr>
              <w:t xml:space="preserve"> und Aufbewahrungspflichten, als auch </w:t>
            </w:r>
            <w:r w:rsidR="00A04651">
              <w:rPr>
                <w:rFonts w:cs="Arial"/>
                <w:i/>
                <w:szCs w:val="20"/>
                <w:highlight w:val="lightGray"/>
              </w:rPr>
              <w:t>für die</w:t>
            </w:r>
            <w:r>
              <w:rPr>
                <w:rFonts w:cs="Arial"/>
                <w:i/>
                <w:szCs w:val="20"/>
                <w:highlight w:val="lightGray"/>
              </w:rPr>
              <w:t xml:space="preserve"> Informationspflichten</w:t>
            </w:r>
            <w:r w:rsidR="007B4F7B">
              <w:rPr>
                <w:rFonts w:cs="Arial"/>
                <w:i/>
                <w:szCs w:val="20"/>
                <w:highlight w:val="lightGray"/>
              </w:rPr>
              <w:t xml:space="preserve"> gegenüber den Kunden</w:t>
            </w:r>
            <w:r w:rsidRPr="008C068B">
              <w:rPr>
                <w:rFonts w:cs="Arial"/>
                <w:i/>
                <w:szCs w:val="20"/>
                <w:highlight w:val="lightGray"/>
              </w:rPr>
              <w:t xml:space="preserve"> eingehalten werden</w:t>
            </w:r>
          </w:p>
        </w:tc>
      </w:tr>
      <w:tr w:rsidR="00130556" w:rsidRPr="00CE3194" w14:paraId="7DF688A9" w14:textId="77777777" w:rsidTr="009E4FE7">
        <w:tc>
          <w:tcPr>
            <w:tcW w:w="1668" w:type="dxa"/>
          </w:tcPr>
          <w:p w14:paraId="7E5B36B0" w14:textId="3DD924AE"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Zuwendungen</w:t>
            </w:r>
            <w:r w:rsidR="00A90D6D">
              <w:rPr>
                <w:rFonts w:ascii="Arial" w:hAnsi="Arial" w:cs="Arial"/>
                <w:i/>
                <w:sz w:val="20"/>
                <w:szCs w:val="20"/>
                <w:highlight w:val="lightGray"/>
              </w:rPr>
              <w:t xml:space="preserve"> (u.a. Art. 10 WPDG)</w:t>
            </w:r>
          </w:p>
        </w:tc>
        <w:tc>
          <w:tcPr>
            <w:tcW w:w="5313" w:type="dxa"/>
          </w:tcPr>
          <w:p w14:paraId="73BA7C25" w14:textId="463471AD" w:rsidR="00A90D6D" w:rsidRDefault="00A90D6D" w:rsidP="00A90D6D">
            <w:pPr>
              <w:pStyle w:val="Listenabsatz"/>
              <w:ind w:left="34"/>
              <w:jc w:val="both"/>
              <w:rPr>
                <w:rFonts w:cs="Arial"/>
                <w:i/>
                <w:szCs w:val="20"/>
                <w:highlight w:val="lightGray"/>
              </w:rPr>
            </w:pPr>
            <w:r>
              <w:rPr>
                <w:rFonts w:cs="Arial"/>
                <w:i/>
                <w:szCs w:val="20"/>
                <w:highlight w:val="lightGray"/>
              </w:rPr>
              <w:t>Die Revisionsstelle prüft die Einhaltung der Vorschriften im Hinblick auf die Zuwendungen, insbesondere in Bezug auf nachfolgende Punkte:</w:t>
            </w:r>
          </w:p>
          <w:p w14:paraId="64F9E3F2" w14:textId="646A2052" w:rsidR="00A90D6D" w:rsidRDefault="00A90D6D" w:rsidP="00A90D6D">
            <w:pPr>
              <w:pStyle w:val="Listenabsatz"/>
              <w:ind w:left="34"/>
              <w:jc w:val="both"/>
              <w:rPr>
                <w:rFonts w:cs="Arial"/>
                <w:i/>
                <w:szCs w:val="20"/>
                <w:highlight w:val="lightGray"/>
              </w:rPr>
            </w:pPr>
            <w:r>
              <w:rPr>
                <w:rFonts w:cs="Arial"/>
                <w:i/>
                <w:szCs w:val="20"/>
                <w:highlight w:val="lightGray"/>
              </w:rPr>
              <w:t>- Klassierung der Gesellschaft</w:t>
            </w:r>
          </w:p>
          <w:p w14:paraId="5666E618" w14:textId="263E1639" w:rsidR="00A90D6D" w:rsidRDefault="00A90D6D" w:rsidP="00A90D6D">
            <w:pPr>
              <w:pStyle w:val="Listenabsatz"/>
              <w:ind w:left="34"/>
              <w:jc w:val="both"/>
              <w:rPr>
                <w:rFonts w:cs="Arial"/>
                <w:i/>
                <w:szCs w:val="20"/>
                <w:highlight w:val="lightGray"/>
              </w:rPr>
            </w:pPr>
            <w:r>
              <w:rPr>
                <w:rFonts w:cs="Arial"/>
                <w:i/>
                <w:szCs w:val="20"/>
                <w:highlight w:val="lightGray"/>
              </w:rPr>
              <w:t>- Interne Weisungen</w:t>
            </w:r>
          </w:p>
          <w:p w14:paraId="36E757FB" w14:textId="53498706" w:rsidR="00A90D6D" w:rsidRDefault="00A90D6D" w:rsidP="00A90D6D">
            <w:pPr>
              <w:pStyle w:val="Listenabsatz"/>
              <w:ind w:left="34"/>
              <w:jc w:val="both"/>
              <w:rPr>
                <w:rFonts w:cs="Arial"/>
                <w:i/>
                <w:szCs w:val="20"/>
                <w:highlight w:val="lightGray"/>
              </w:rPr>
            </w:pPr>
            <w:r>
              <w:rPr>
                <w:rFonts w:cs="Arial"/>
                <w:i/>
                <w:szCs w:val="20"/>
                <w:highlight w:val="lightGray"/>
              </w:rPr>
              <w:t>- Aufzeichnung der Zuwendungen und Klassierung</w:t>
            </w:r>
          </w:p>
          <w:p w14:paraId="46CDC121" w14:textId="5B4ABDF7" w:rsidR="00A90D6D" w:rsidRDefault="00A90D6D" w:rsidP="00A90D6D">
            <w:pPr>
              <w:pStyle w:val="Listenabsatz"/>
              <w:ind w:left="34"/>
              <w:jc w:val="both"/>
              <w:rPr>
                <w:rFonts w:cs="Arial"/>
                <w:i/>
                <w:szCs w:val="20"/>
                <w:highlight w:val="lightGray"/>
              </w:rPr>
            </w:pPr>
            <w:r>
              <w:rPr>
                <w:rFonts w:cs="Arial"/>
                <w:i/>
                <w:szCs w:val="20"/>
                <w:highlight w:val="lightGray"/>
              </w:rPr>
              <w:t>- Weitergabe/Einbehalt von monetären Zuwendungen</w:t>
            </w:r>
          </w:p>
          <w:p w14:paraId="5D669448" w14:textId="532B3828" w:rsidR="00A90D6D" w:rsidRDefault="00A90D6D" w:rsidP="00A90D6D">
            <w:pPr>
              <w:pStyle w:val="Listenabsatz"/>
              <w:ind w:left="34"/>
              <w:jc w:val="both"/>
              <w:rPr>
                <w:rFonts w:cs="Arial"/>
                <w:i/>
                <w:szCs w:val="20"/>
                <w:highlight w:val="lightGray"/>
              </w:rPr>
            </w:pPr>
            <w:r>
              <w:rPr>
                <w:rFonts w:cs="Arial"/>
                <w:i/>
                <w:szCs w:val="20"/>
                <w:highlight w:val="lightGray"/>
              </w:rPr>
              <w:t>- Einbehalt von nicht monetären Zuwendungen</w:t>
            </w:r>
          </w:p>
          <w:p w14:paraId="3C16310C" w14:textId="6013188F" w:rsidR="00A90D6D" w:rsidRDefault="00A90D6D" w:rsidP="00A90D6D">
            <w:pPr>
              <w:pStyle w:val="Listenabsatz"/>
              <w:ind w:left="34"/>
              <w:jc w:val="both"/>
              <w:rPr>
                <w:rFonts w:cs="Arial"/>
                <w:i/>
                <w:szCs w:val="20"/>
                <w:highlight w:val="lightGray"/>
              </w:rPr>
            </w:pPr>
            <w:r>
              <w:rPr>
                <w:rFonts w:cs="Arial"/>
                <w:i/>
                <w:szCs w:val="20"/>
                <w:highlight w:val="lightGray"/>
              </w:rPr>
              <w:t>- Offenlegung</w:t>
            </w:r>
          </w:p>
          <w:p w14:paraId="57A2106C" w14:textId="39A6C6CD" w:rsidR="00A90D6D" w:rsidRDefault="00A90D6D" w:rsidP="00A90D6D">
            <w:pPr>
              <w:pStyle w:val="Listenabsatz"/>
              <w:ind w:left="34"/>
              <w:jc w:val="both"/>
              <w:rPr>
                <w:rFonts w:cs="Arial"/>
                <w:i/>
                <w:szCs w:val="20"/>
                <w:highlight w:val="lightGray"/>
              </w:rPr>
            </w:pPr>
            <w:r>
              <w:rPr>
                <w:rFonts w:cs="Arial"/>
                <w:i/>
                <w:szCs w:val="20"/>
                <w:highlight w:val="lightGray"/>
              </w:rPr>
              <w:t>- Interessenskonflikte</w:t>
            </w:r>
          </w:p>
          <w:p w14:paraId="17A3307D" w14:textId="53AA494E" w:rsidR="00130556" w:rsidRPr="00282AF0" w:rsidRDefault="00A90D6D" w:rsidP="009E4FE7">
            <w:pPr>
              <w:pStyle w:val="Listenabsatz"/>
              <w:ind w:left="34"/>
              <w:jc w:val="both"/>
              <w:rPr>
                <w:highlight w:val="lightGray"/>
              </w:rPr>
            </w:pPr>
            <w:r>
              <w:rPr>
                <w:rFonts w:cs="Arial"/>
                <w:i/>
                <w:szCs w:val="20"/>
                <w:highlight w:val="lightGray"/>
              </w:rPr>
              <w:t>- Analysen und Analysenkonto</w:t>
            </w:r>
          </w:p>
        </w:tc>
        <w:tc>
          <w:tcPr>
            <w:tcW w:w="2759" w:type="dxa"/>
          </w:tcPr>
          <w:p w14:paraId="6A87FCB5"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für die </w:t>
            </w:r>
            <w:r>
              <w:rPr>
                <w:rFonts w:cs="Arial"/>
                <w:i/>
                <w:szCs w:val="20"/>
                <w:highlight w:val="lightGray"/>
              </w:rPr>
              <w:t>Zuwendungen</w:t>
            </w:r>
            <w:r w:rsidRPr="008C068B">
              <w:rPr>
                <w:rFonts w:cs="Arial"/>
                <w:i/>
                <w:szCs w:val="20"/>
                <w:highlight w:val="lightGray"/>
              </w:rPr>
              <w:t xml:space="preserve"> eingehalten werden</w:t>
            </w:r>
          </w:p>
        </w:tc>
      </w:tr>
      <w:tr w:rsidR="00130556" w:rsidRPr="00CE3194" w14:paraId="2B00D9CB" w14:textId="77777777" w:rsidTr="009E4FE7">
        <w:tc>
          <w:tcPr>
            <w:tcW w:w="1668" w:type="dxa"/>
          </w:tcPr>
          <w:p w14:paraId="75E5C496" w14:textId="40AC1C98" w:rsidR="00130556" w:rsidRPr="005905B2" w:rsidRDefault="00130556" w:rsidP="008C7535">
            <w:pPr>
              <w:jc w:val="both"/>
              <w:rPr>
                <w:rFonts w:ascii="Arial" w:hAnsi="Arial" w:cs="Arial"/>
                <w:i/>
                <w:sz w:val="20"/>
                <w:szCs w:val="20"/>
                <w:highlight w:val="lightGray"/>
              </w:rPr>
            </w:pPr>
            <w:r w:rsidRPr="005905B2">
              <w:rPr>
                <w:rFonts w:ascii="Arial" w:hAnsi="Arial" w:cs="Arial"/>
                <w:i/>
                <w:sz w:val="20"/>
                <w:szCs w:val="20"/>
                <w:highlight w:val="lightGray"/>
              </w:rPr>
              <w:t>Produktgenehmigungs- und Überwachungsverfahren</w:t>
            </w:r>
            <w:r w:rsidR="009D726E">
              <w:rPr>
                <w:rFonts w:ascii="Arial" w:hAnsi="Arial" w:cs="Arial"/>
                <w:i/>
                <w:sz w:val="20"/>
                <w:szCs w:val="20"/>
                <w:highlight w:val="lightGray"/>
              </w:rPr>
              <w:t xml:space="preserve"> (u.a. Art. 4 Abs. 1 WPDG, Art. 22 WPFG)</w:t>
            </w:r>
          </w:p>
        </w:tc>
        <w:tc>
          <w:tcPr>
            <w:tcW w:w="5313" w:type="dxa"/>
          </w:tcPr>
          <w:p w14:paraId="55149107" w14:textId="09DD8BB7" w:rsidR="009D726E" w:rsidRDefault="009D726E" w:rsidP="009D726E">
            <w:pPr>
              <w:pStyle w:val="Listenabsatz"/>
              <w:ind w:left="34"/>
              <w:jc w:val="both"/>
              <w:rPr>
                <w:rFonts w:cs="Arial"/>
                <w:i/>
                <w:szCs w:val="20"/>
                <w:highlight w:val="lightGray"/>
              </w:rPr>
            </w:pPr>
            <w:r>
              <w:rPr>
                <w:rFonts w:cs="Arial"/>
                <w:i/>
                <w:szCs w:val="20"/>
                <w:highlight w:val="lightGray"/>
              </w:rPr>
              <w:t>Die Revisionsstelle prüft die Einhaltung der Vorschriften im Hinblick auf die Produktgenehmigung- und überwachung, insbesondere in Bezug auf nachfolgende Punkte:</w:t>
            </w:r>
          </w:p>
          <w:p w14:paraId="6570C14C" w14:textId="7D13E449" w:rsidR="009D726E" w:rsidRDefault="009D726E" w:rsidP="009D726E">
            <w:pPr>
              <w:pStyle w:val="Listenabsatz"/>
              <w:ind w:left="34"/>
              <w:jc w:val="both"/>
              <w:rPr>
                <w:rFonts w:cs="Arial"/>
                <w:i/>
                <w:szCs w:val="20"/>
                <w:highlight w:val="lightGray"/>
              </w:rPr>
            </w:pPr>
            <w:r>
              <w:rPr>
                <w:rFonts w:cs="Arial"/>
                <w:i/>
                <w:szCs w:val="20"/>
                <w:highlight w:val="lightGray"/>
              </w:rPr>
              <w:t>- Prozess zur regelmässigen Überprüfung der Kompatibilität der Finanzinstrumente mit dem Zielmarkt (dabei werden ebenfalls etwaige Nachhaltigkeitsfaktoren berücksichtigt)</w:t>
            </w:r>
          </w:p>
          <w:p w14:paraId="7F29B8A8" w14:textId="2F72543D" w:rsidR="009D726E" w:rsidRDefault="009D726E" w:rsidP="009D726E">
            <w:pPr>
              <w:pStyle w:val="Listenabsatz"/>
              <w:ind w:left="34"/>
              <w:jc w:val="both"/>
              <w:rPr>
                <w:rFonts w:cs="Arial"/>
                <w:i/>
                <w:szCs w:val="20"/>
                <w:highlight w:val="lightGray"/>
              </w:rPr>
            </w:pPr>
            <w:r>
              <w:rPr>
                <w:rFonts w:cs="Arial"/>
                <w:i/>
                <w:szCs w:val="20"/>
                <w:highlight w:val="lightGray"/>
              </w:rPr>
              <w:t>- Prozess in Bezug auf den Vertrieb des Finanzinstruments ausserhalb des positiven Zielmarkts</w:t>
            </w:r>
          </w:p>
          <w:p w14:paraId="50166BE5" w14:textId="206FC305" w:rsidR="009D726E" w:rsidRDefault="009D726E" w:rsidP="009D726E">
            <w:pPr>
              <w:pStyle w:val="Listenabsatz"/>
              <w:ind w:left="34"/>
              <w:jc w:val="both"/>
              <w:rPr>
                <w:rFonts w:cs="Arial"/>
                <w:i/>
                <w:szCs w:val="20"/>
                <w:highlight w:val="lightGray"/>
              </w:rPr>
            </w:pPr>
            <w:r>
              <w:rPr>
                <w:rFonts w:cs="Arial"/>
                <w:i/>
                <w:szCs w:val="20"/>
                <w:highlight w:val="lightGray"/>
              </w:rPr>
              <w:t>- Prozess zur Dokumentation beim Vertrieb im negativen Zielmarkts</w:t>
            </w:r>
          </w:p>
          <w:p w14:paraId="7A996318" w14:textId="48A65916" w:rsidR="009D726E" w:rsidRDefault="009D726E" w:rsidP="009D726E">
            <w:pPr>
              <w:pStyle w:val="Listenabsatz"/>
              <w:ind w:left="34"/>
              <w:jc w:val="both"/>
              <w:rPr>
                <w:rFonts w:cs="Arial"/>
                <w:i/>
                <w:szCs w:val="20"/>
                <w:highlight w:val="lightGray"/>
              </w:rPr>
            </w:pPr>
            <w:r>
              <w:rPr>
                <w:rFonts w:cs="Arial"/>
                <w:i/>
                <w:szCs w:val="20"/>
                <w:highlight w:val="lightGray"/>
              </w:rPr>
              <w:t>- Prozess zur Festlegung von Zielmarktkriterien</w:t>
            </w:r>
          </w:p>
          <w:p w14:paraId="30B478CF" w14:textId="60F4D389" w:rsidR="009D726E" w:rsidRDefault="009D726E" w:rsidP="009D726E">
            <w:pPr>
              <w:pStyle w:val="Listenabsatz"/>
              <w:ind w:left="34"/>
              <w:jc w:val="both"/>
              <w:rPr>
                <w:rFonts w:cs="Arial"/>
                <w:i/>
                <w:szCs w:val="20"/>
                <w:highlight w:val="lightGray"/>
              </w:rPr>
            </w:pPr>
            <w:r>
              <w:rPr>
                <w:rFonts w:cs="Arial"/>
                <w:i/>
                <w:szCs w:val="20"/>
                <w:highlight w:val="lightGray"/>
              </w:rPr>
              <w:t>- Zielmarkt-Konzepte</w:t>
            </w:r>
          </w:p>
          <w:p w14:paraId="2B640DA2" w14:textId="199E04C6" w:rsidR="009D726E" w:rsidRDefault="009D726E" w:rsidP="009D726E">
            <w:pPr>
              <w:pStyle w:val="Listenabsatz"/>
              <w:ind w:left="34"/>
              <w:jc w:val="both"/>
              <w:rPr>
                <w:rFonts w:cs="Arial"/>
                <w:i/>
                <w:szCs w:val="20"/>
                <w:highlight w:val="lightGray"/>
              </w:rPr>
            </w:pPr>
            <w:r>
              <w:rPr>
                <w:rFonts w:cs="Arial"/>
                <w:i/>
                <w:szCs w:val="20"/>
                <w:highlight w:val="lightGray"/>
              </w:rPr>
              <w:t>- Anwendbarkeit der Produktüberwachung und Drittlandprodukte</w:t>
            </w:r>
          </w:p>
          <w:p w14:paraId="0DA981FF" w14:textId="2EA2FAB4" w:rsidR="00130556" w:rsidRPr="00282AF0" w:rsidRDefault="009D726E" w:rsidP="009E4FE7">
            <w:pPr>
              <w:pStyle w:val="Listenabsatz"/>
              <w:ind w:left="34"/>
              <w:jc w:val="both"/>
              <w:rPr>
                <w:highlight w:val="lightGray"/>
              </w:rPr>
            </w:pPr>
            <w:r>
              <w:rPr>
                <w:rFonts w:cs="Arial"/>
                <w:i/>
                <w:szCs w:val="20"/>
                <w:highlight w:val="lightGray"/>
              </w:rPr>
              <w:t>- Kontrollprozess und Compliance-Berichte zu konzipierten Finanzinstrumenten</w:t>
            </w:r>
          </w:p>
        </w:tc>
        <w:tc>
          <w:tcPr>
            <w:tcW w:w="2759" w:type="dxa"/>
          </w:tcPr>
          <w:p w14:paraId="3AECD6FF" w14:textId="77777777" w:rsidR="00130556" w:rsidRPr="000C756C" w:rsidRDefault="005905B2" w:rsidP="00494050">
            <w:pPr>
              <w:pStyle w:val="Listenabsatz"/>
              <w:ind w:left="50"/>
              <w:jc w:val="both"/>
              <w:rPr>
                <w:rFonts w:cs="Arial"/>
                <w:i/>
                <w:szCs w:val="20"/>
                <w:highlight w:val="lightGray"/>
              </w:rPr>
            </w:pPr>
            <w:r w:rsidRPr="008C068B">
              <w:rPr>
                <w:rFonts w:cs="Arial"/>
                <w:i/>
                <w:szCs w:val="20"/>
                <w:highlight w:val="lightGray"/>
              </w:rPr>
              <w:t>Bestätigung, dass die internen Verfahren sicherstellen, dass die gesetz</w:t>
            </w:r>
            <w:r>
              <w:rPr>
                <w:rFonts w:cs="Arial"/>
                <w:i/>
                <w:szCs w:val="20"/>
                <w:highlight w:val="lightGray"/>
              </w:rPr>
              <w:t>lichen Bestimmungen</w:t>
            </w:r>
            <w:r w:rsidRPr="008C068B">
              <w:rPr>
                <w:rFonts w:cs="Arial"/>
                <w:i/>
                <w:szCs w:val="20"/>
                <w:highlight w:val="lightGray"/>
              </w:rPr>
              <w:t xml:space="preserve"> </w:t>
            </w:r>
            <w:r>
              <w:rPr>
                <w:rFonts w:cs="Arial"/>
                <w:i/>
                <w:szCs w:val="20"/>
                <w:highlight w:val="lightGray"/>
              </w:rPr>
              <w:t>zum Produktgenehmigungs- und überwachungsverfahren</w:t>
            </w:r>
            <w:r w:rsidRPr="008C068B">
              <w:rPr>
                <w:rFonts w:cs="Arial"/>
                <w:i/>
                <w:szCs w:val="20"/>
                <w:highlight w:val="lightGray"/>
              </w:rPr>
              <w:t xml:space="preserve"> eingehalten</w:t>
            </w:r>
            <w:r>
              <w:rPr>
                <w:rFonts w:cs="Arial"/>
                <w:i/>
                <w:szCs w:val="20"/>
                <w:highlight w:val="lightGray"/>
              </w:rPr>
              <w:t xml:space="preserve"> werden</w:t>
            </w:r>
          </w:p>
        </w:tc>
      </w:tr>
      <w:tr w:rsidR="00D6493A" w:rsidRPr="00D6493A" w14:paraId="37C3B4D0" w14:textId="77777777" w:rsidTr="009E4FE7">
        <w:tc>
          <w:tcPr>
            <w:tcW w:w="1668" w:type="dxa"/>
          </w:tcPr>
          <w:p w14:paraId="4B1E2CC0" w14:textId="77777777" w:rsidR="0029354E" w:rsidRPr="00F1082A" w:rsidRDefault="0029354E" w:rsidP="008C7535">
            <w:pPr>
              <w:jc w:val="both"/>
              <w:rPr>
                <w:rFonts w:ascii="Arial" w:hAnsi="Arial" w:cs="Arial"/>
                <w:i/>
                <w:sz w:val="20"/>
                <w:szCs w:val="20"/>
                <w:highlight w:val="lightGray"/>
              </w:rPr>
            </w:pPr>
            <w:bookmarkStart w:id="79" w:name="_Hlk55905906"/>
            <w:r w:rsidRPr="00F1082A">
              <w:rPr>
                <w:rFonts w:ascii="Arial" w:hAnsi="Arial" w:cs="Arial"/>
                <w:i/>
                <w:sz w:val="20"/>
                <w:szCs w:val="20"/>
                <w:highlight w:val="lightGray"/>
              </w:rPr>
              <w:t>Schutz des Kundenvermögens</w:t>
            </w:r>
          </w:p>
          <w:p w14:paraId="3C25803C" w14:textId="77777777" w:rsidR="00646418" w:rsidRPr="00F1082A" w:rsidRDefault="00646418" w:rsidP="008C7535">
            <w:pPr>
              <w:jc w:val="both"/>
              <w:rPr>
                <w:rFonts w:ascii="Arial" w:hAnsi="Arial" w:cs="Arial"/>
                <w:i/>
                <w:sz w:val="20"/>
                <w:szCs w:val="20"/>
                <w:highlight w:val="lightGray"/>
              </w:rPr>
            </w:pPr>
          </w:p>
          <w:p w14:paraId="7FBED045" w14:textId="3CA5B9D2" w:rsidR="00646418" w:rsidRPr="00F1082A" w:rsidRDefault="00646418" w:rsidP="008C7535">
            <w:pPr>
              <w:jc w:val="both"/>
              <w:rPr>
                <w:rFonts w:ascii="Arial" w:hAnsi="Arial" w:cs="Arial"/>
                <w:i/>
                <w:sz w:val="16"/>
                <w:szCs w:val="16"/>
                <w:highlight w:val="lightGray"/>
              </w:rPr>
            </w:pPr>
            <w:r w:rsidRPr="00F1082A">
              <w:rPr>
                <w:rFonts w:ascii="Arial" w:hAnsi="Arial" w:cs="Arial"/>
                <w:i/>
                <w:sz w:val="16"/>
                <w:szCs w:val="16"/>
                <w:highlight w:val="lightGray"/>
              </w:rPr>
              <w:t>(DelV (EU) Nr. 2017/593</w:t>
            </w:r>
          </w:p>
        </w:tc>
        <w:tc>
          <w:tcPr>
            <w:tcW w:w="5313" w:type="dxa"/>
          </w:tcPr>
          <w:p w14:paraId="1A528DC9" w14:textId="3CD68D46" w:rsidR="0029354E" w:rsidRPr="00F1082A" w:rsidRDefault="0029354E" w:rsidP="00B037A6">
            <w:pPr>
              <w:pStyle w:val="Listenabsatz"/>
              <w:numPr>
                <w:ilvl w:val="1"/>
                <w:numId w:val="17"/>
              </w:numPr>
              <w:ind w:left="317" w:hanging="283"/>
              <w:jc w:val="both"/>
              <w:rPr>
                <w:rFonts w:cs="Arial"/>
                <w:i/>
                <w:szCs w:val="20"/>
                <w:highlight w:val="lightGray"/>
              </w:rPr>
            </w:pPr>
            <w:r w:rsidRPr="00F1082A">
              <w:rPr>
                <w:rFonts w:cs="Arial"/>
                <w:i/>
                <w:szCs w:val="20"/>
                <w:highlight w:val="lightGray"/>
              </w:rPr>
              <w:t xml:space="preserve">Die </w:t>
            </w:r>
            <w:r w:rsidR="006179DA" w:rsidRPr="00F1082A">
              <w:rPr>
                <w:rFonts w:cs="Arial"/>
                <w:i/>
                <w:szCs w:val="20"/>
                <w:highlight w:val="lightGray"/>
              </w:rPr>
              <w:t>Bank bzw. die Gruppe</w:t>
            </w:r>
            <w:r w:rsidR="006179DA" w:rsidRPr="00F1082A" w:rsidDel="006179DA">
              <w:rPr>
                <w:rFonts w:cs="Arial"/>
                <w:i/>
                <w:szCs w:val="20"/>
                <w:highlight w:val="lightGray"/>
              </w:rPr>
              <w:t xml:space="preserve"> </w:t>
            </w:r>
            <w:r w:rsidRPr="00F1082A">
              <w:rPr>
                <w:rFonts w:cs="Arial"/>
                <w:i/>
                <w:szCs w:val="20"/>
                <w:highlight w:val="lightGray"/>
              </w:rPr>
              <w:t>verfügt über ein detailliertes, vom Verwaltungsrat genehmigtes Risikoappetit-Rahmenwerk (Risk-Appetite Framework) in Bezug auf den Schutz von Kundenvermögen sowie den dahinterstehenden Abwicklungsprozess</w:t>
            </w:r>
          </w:p>
          <w:p w14:paraId="6C162AD0" w14:textId="1E7236B0" w:rsidR="0029354E" w:rsidRPr="00F1082A" w:rsidRDefault="0029354E" w:rsidP="00B037A6">
            <w:pPr>
              <w:numPr>
                <w:ilvl w:val="1"/>
                <w:numId w:val="17"/>
              </w:numPr>
              <w:ind w:left="317" w:hanging="283"/>
              <w:jc w:val="both"/>
              <w:rPr>
                <w:rFonts w:cs="Arial"/>
                <w:i/>
                <w:szCs w:val="20"/>
                <w:highlight w:val="lightGray"/>
              </w:rPr>
            </w:pPr>
            <w:r w:rsidRPr="00F1082A">
              <w:rPr>
                <w:rFonts w:ascii="Arial" w:hAnsi="Arial" w:cs="Arial"/>
                <w:i/>
                <w:sz w:val="20"/>
                <w:szCs w:val="20"/>
                <w:highlight w:val="lightGray"/>
              </w:rPr>
              <w:t>Die internen Verfahren stellen</w:t>
            </w:r>
            <w:r w:rsidR="00174C08" w:rsidRPr="00F1082A">
              <w:rPr>
                <w:rFonts w:ascii="Arial" w:hAnsi="Arial" w:cs="Arial"/>
                <w:i/>
                <w:sz w:val="20"/>
                <w:szCs w:val="20"/>
                <w:highlight w:val="lightGray"/>
              </w:rPr>
              <w:t xml:space="preserve"> </w:t>
            </w:r>
            <w:r w:rsidRPr="00F1082A">
              <w:rPr>
                <w:rFonts w:ascii="Arial" w:hAnsi="Arial" w:cs="Arial"/>
                <w:i/>
                <w:sz w:val="20"/>
                <w:szCs w:val="20"/>
                <w:highlight w:val="lightGray"/>
              </w:rPr>
              <w:t>sicher, dass keine unbefugte Verwendung der Finanzinstrumente von Kunden stattfindet</w:t>
            </w:r>
          </w:p>
          <w:p w14:paraId="297562C1" w14:textId="77777777" w:rsidR="0029354E" w:rsidRPr="00F1082A" w:rsidRDefault="0029354E" w:rsidP="00B037A6">
            <w:pPr>
              <w:numPr>
                <w:ilvl w:val="1"/>
                <w:numId w:val="17"/>
              </w:numPr>
              <w:ind w:left="317" w:hanging="283"/>
              <w:jc w:val="both"/>
              <w:rPr>
                <w:rFonts w:cs="Arial"/>
                <w:i/>
                <w:szCs w:val="20"/>
                <w:highlight w:val="lightGray"/>
              </w:rPr>
            </w:pPr>
            <w:r w:rsidRPr="00F1082A">
              <w:rPr>
                <w:rFonts w:ascii="Arial" w:hAnsi="Arial" w:cs="Arial"/>
                <w:i/>
                <w:sz w:val="20"/>
                <w:szCs w:val="20"/>
                <w:highlight w:val="lightGray"/>
              </w:rPr>
              <w:t>Die internen Verfahren gewährleisten die Trennung von Eigenbeständen und Kundenvermögen bei der Verwahrung von Geldern und Finanzinstrumenten bei Dritten</w:t>
            </w:r>
          </w:p>
          <w:p w14:paraId="64811C8B" w14:textId="32177E78" w:rsidR="0029354E" w:rsidRPr="00F1082A" w:rsidRDefault="0029354E" w:rsidP="00B037A6">
            <w:pPr>
              <w:numPr>
                <w:ilvl w:val="1"/>
                <w:numId w:val="17"/>
              </w:numPr>
              <w:ind w:left="317" w:hanging="283"/>
              <w:jc w:val="both"/>
              <w:rPr>
                <w:rFonts w:cs="Arial"/>
                <w:i/>
                <w:szCs w:val="20"/>
                <w:highlight w:val="lightGray"/>
              </w:rPr>
            </w:pPr>
            <w:r w:rsidRPr="00F1082A">
              <w:rPr>
                <w:rFonts w:ascii="Arial" w:hAnsi="Arial" w:cs="Arial"/>
                <w:i/>
                <w:sz w:val="20"/>
                <w:szCs w:val="20"/>
                <w:highlight w:val="lightGray"/>
              </w:rPr>
              <w:t>Die internen Verfahren und IT-Systeme gewährleisten eine systematische Auswertungs- und Aufbereitungsfähigkeit sämtlicher Daten, die zur Sicherstellung des Schutzes von Kundenvermögen notwendig sind</w:t>
            </w:r>
          </w:p>
          <w:p w14:paraId="19AA1393" w14:textId="1A9457E0" w:rsidR="0029354E" w:rsidRPr="00F1082A" w:rsidRDefault="0029354E" w:rsidP="00B037A6">
            <w:pPr>
              <w:numPr>
                <w:ilvl w:val="1"/>
                <w:numId w:val="17"/>
              </w:numPr>
              <w:ind w:left="317" w:hanging="283"/>
              <w:jc w:val="both"/>
              <w:rPr>
                <w:rFonts w:cs="Arial"/>
                <w:i/>
                <w:szCs w:val="20"/>
                <w:highlight w:val="lightGray"/>
              </w:rPr>
            </w:pPr>
            <w:r w:rsidRPr="00F1082A">
              <w:rPr>
                <w:rFonts w:ascii="Arial" w:hAnsi="Arial" w:cs="Arial"/>
                <w:i/>
                <w:sz w:val="20"/>
                <w:szCs w:val="20"/>
                <w:highlight w:val="lightGray"/>
              </w:rPr>
              <w:t xml:space="preserve">Die Bank </w:t>
            </w:r>
            <w:r w:rsidR="00F1082A" w:rsidRPr="00A938AE">
              <w:rPr>
                <w:rFonts w:ascii="Arial" w:hAnsi="Arial" w:cs="Arial"/>
                <w:i/>
                <w:sz w:val="20"/>
                <w:szCs w:val="20"/>
                <w:highlight w:val="lightGray"/>
              </w:rPr>
              <w:t xml:space="preserve">hat </w:t>
            </w:r>
            <w:r w:rsidRPr="00F1082A">
              <w:rPr>
                <w:rFonts w:ascii="Arial" w:hAnsi="Arial" w:cs="Arial"/>
                <w:i/>
                <w:sz w:val="20"/>
                <w:szCs w:val="20"/>
                <w:highlight w:val="lightGray"/>
              </w:rPr>
              <w:t>einen Beauftragten zum Schutz der Kundenvermögen („Safeguarding Officer“) ernannt, welcher befähigt und befugt ist, seine Pflichten wirksam und ohne Einschränkung erfüllen zu können</w:t>
            </w:r>
          </w:p>
          <w:p w14:paraId="5648E1F3" w14:textId="71E03658" w:rsidR="0029354E" w:rsidRPr="00F1082A" w:rsidRDefault="0029354E" w:rsidP="00B037A6">
            <w:pPr>
              <w:numPr>
                <w:ilvl w:val="1"/>
                <w:numId w:val="17"/>
              </w:numPr>
              <w:ind w:left="317" w:hanging="283"/>
              <w:jc w:val="both"/>
              <w:rPr>
                <w:rFonts w:cs="Arial"/>
                <w:i/>
                <w:szCs w:val="20"/>
                <w:highlight w:val="lightGray"/>
              </w:rPr>
            </w:pPr>
            <w:r w:rsidRPr="00F1082A">
              <w:rPr>
                <w:rFonts w:ascii="Arial" w:hAnsi="Arial" w:cs="Arial"/>
                <w:i/>
                <w:sz w:val="20"/>
                <w:szCs w:val="20"/>
                <w:highlight w:val="lightGray"/>
              </w:rPr>
              <w:t>Die internen Verfahren und IT-Systeme gewährleisten eine umfassende Dokumentation des gesamten Abwicklungs- und Settlement-Prozesses.</w:t>
            </w:r>
          </w:p>
        </w:tc>
        <w:tc>
          <w:tcPr>
            <w:tcW w:w="2759" w:type="dxa"/>
          </w:tcPr>
          <w:p w14:paraId="4510FCEC" w14:textId="47FBE3E6" w:rsidR="0029354E" w:rsidRPr="00F1082A" w:rsidRDefault="0029354E" w:rsidP="0029354E">
            <w:pPr>
              <w:pStyle w:val="Listenabsatz"/>
              <w:ind w:left="50"/>
              <w:jc w:val="both"/>
              <w:rPr>
                <w:rFonts w:cs="Arial"/>
                <w:i/>
                <w:szCs w:val="20"/>
                <w:highlight w:val="lightGray"/>
              </w:rPr>
            </w:pPr>
            <w:r w:rsidRPr="00F1082A">
              <w:rPr>
                <w:rFonts w:cs="Arial"/>
                <w:i/>
                <w:szCs w:val="20"/>
                <w:highlight w:val="lightGray"/>
              </w:rPr>
              <w:t xml:space="preserve">Bestätigung, dass die internen Verfahren die Einhaltung der </w:t>
            </w:r>
            <w:r w:rsidR="00F1082A" w:rsidRPr="00A938AE">
              <w:rPr>
                <w:rFonts w:cs="Arial"/>
                <w:i/>
                <w:szCs w:val="20"/>
                <w:highlight w:val="lightGray"/>
              </w:rPr>
              <w:t>regulatorischen</w:t>
            </w:r>
            <w:r w:rsidR="00F1082A" w:rsidRPr="00F1082A">
              <w:rPr>
                <w:rFonts w:cs="Arial"/>
                <w:i/>
                <w:szCs w:val="20"/>
                <w:highlight w:val="lightGray"/>
              </w:rPr>
              <w:t xml:space="preserve"> </w:t>
            </w:r>
            <w:r w:rsidRPr="00F1082A">
              <w:rPr>
                <w:rFonts w:cs="Arial"/>
                <w:i/>
                <w:szCs w:val="20"/>
                <w:highlight w:val="lightGray"/>
              </w:rPr>
              <w:t>Bestimmungen zum Schutz des Kundenvermögens sicherstellen</w:t>
            </w:r>
          </w:p>
        </w:tc>
      </w:tr>
      <w:bookmarkEnd w:id="79"/>
      <w:tr w:rsidR="00130556" w:rsidRPr="00CE3194" w14:paraId="36CB823D" w14:textId="77777777" w:rsidTr="009E4FE7">
        <w:tc>
          <w:tcPr>
            <w:tcW w:w="9740" w:type="dxa"/>
            <w:gridSpan w:val="3"/>
          </w:tcPr>
          <w:p w14:paraId="2DFAA2AD" w14:textId="77777777" w:rsidR="00130556" w:rsidRDefault="00130556" w:rsidP="00CB3EE6">
            <w:pPr>
              <w:pStyle w:val="Listenabsatz"/>
              <w:ind w:left="317"/>
              <w:jc w:val="both"/>
              <w:rPr>
                <w:rFonts w:cs="Arial"/>
                <w:i/>
                <w:szCs w:val="20"/>
                <w:highlight w:val="lightGray"/>
              </w:rPr>
            </w:pPr>
          </w:p>
          <w:p w14:paraId="033F8485" w14:textId="53F26CD2" w:rsidR="00130556" w:rsidRDefault="00130556" w:rsidP="00CB3EE6">
            <w:pPr>
              <w:pStyle w:val="Listenabsatz"/>
              <w:ind w:left="0"/>
              <w:rPr>
                <w:rFonts w:cs="Arial"/>
                <w:i/>
                <w:szCs w:val="20"/>
                <w:highlight w:val="lightGray"/>
              </w:rPr>
            </w:pPr>
            <w:r>
              <w:rPr>
                <w:rFonts w:cs="Arial"/>
                <w:i/>
                <w:szCs w:val="20"/>
                <w:highlight w:val="lightGray"/>
              </w:rPr>
              <w:lastRenderedPageBreak/>
              <w:t>Weitere Prüfelemente für das Prüffeld „Wertpapier- und Nebendienstleistungen“ durch die Revisionsstelle zu definieren</w:t>
            </w:r>
            <w:r w:rsidR="00D723C8">
              <w:rPr>
                <w:rFonts w:cs="Arial"/>
                <w:i/>
                <w:szCs w:val="20"/>
                <w:highlight w:val="lightGray"/>
              </w:rPr>
              <w:t>.</w:t>
            </w:r>
            <w:r>
              <w:rPr>
                <w:rFonts w:cs="Arial"/>
                <w:i/>
                <w:szCs w:val="20"/>
                <w:highlight w:val="lightGray"/>
              </w:rPr>
              <w:t xml:space="preserve"> </w:t>
            </w:r>
          </w:p>
        </w:tc>
      </w:tr>
    </w:tbl>
    <w:p w14:paraId="3850202D" w14:textId="77777777" w:rsidR="001B7BDD" w:rsidRDefault="001B7BDD" w:rsidP="00CB3EE6">
      <w:pPr>
        <w:jc w:val="both"/>
      </w:pPr>
    </w:p>
    <w:p w14:paraId="74EF29CC" w14:textId="77777777" w:rsidR="00141F6A" w:rsidRPr="00667026" w:rsidRDefault="00141F6A" w:rsidP="00141F6A">
      <w:pPr>
        <w:jc w:val="both"/>
        <w:rPr>
          <w:rFonts w:ascii="Arial" w:hAnsi="Arial" w:cs="Arial"/>
          <w:i/>
          <w:sz w:val="20"/>
          <w:szCs w:val="20"/>
        </w:rPr>
      </w:pPr>
      <w:r w:rsidRPr="00276C60">
        <w:rPr>
          <w:rFonts w:ascii="Arial" w:hAnsi="Arial" w:cs="Arial"/>
          <w:i/>
          <w:sz w:val="20"/>
          <w:szCs w:val="20"/>
          <w:highlight w:val="yellow"/>
        </w:rPr>
        <w:t>Text</w:t>
      </w:r>
    </w:p>
    <w:p w14:paraId="162373F1" w14:textId="77777777" w:rsidR="008C7535" w:rsidRDefault="008C7535" w:rsidP="00CB3EE6">
      <w:pPr>
        <w:jc w:val="both"/>
      </w:pPr>
    </w:p>
    <w:p w14:paraId="6923AFB4" w14:textId="77777777" w:rsidR="005E281B" w:rsidRDefault="005E281B" w:rsidP="006F7AB5">
      <w:pPr>
        <w:pStyle w:val="FINMAGliederungEbene3"/>
      </w:pPr>
      <w:bookmarkStart w:id="80" w:name="_Toc216425822"/>
      <w:r>
        <w:t>Sanierungsplanung (And-3)</w:t>
      </w:r>
      <w:bookmarkEnd w:id="80"/>
    </w:p>
    <w:p w14:paraId="19186D5A" w14:textId="77777777" w:rsidR="005E281B" w:rsidRDefault="005E281B" w:rsidP="005E281B">
      <w:pPr>
        <w:jc w:val="both"/>
      </w:pPr>
    </w:p>
    <w:tbl>
      <w:tblPr>
        <w:tblStyle w:val="Tabellenraster"/>
        <w:tblW w:w="0" w:type="auto"/>
        <w:tblLook w:val="04A0" w:firstRow="1" w:lastRow="0" w:firstColumn="1" w:lastColumn="0" w:noHBand="0" w:noVBand="1"/>
      </w:tblPr>
      <w:tblGrid>
        <w:gridCol w:w="1932"/>
        <w:gridCol w:w="2145"/>
        <w:gridCol w:w="1721"/>
        <w:gridCol w:w="3382"/>
      </w:tblGrid>
      <w:tr w:rsidR="005E281B" w:rsidRPr="009872F3" w14:paraId="50F16DEB" w14:textId="77777777" w:rsidTr="00E7309B">
        <w:trPr>
          <w:trHeight w:val="563"/>
        </w:trPr>
        <w:tc>
          <w:tcPr>
            <w:tcW w:w="1932" w:type="dxa"/>
          </w:tcPr>
          <w:p w14:paraId="5927CAD1"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Nettorisiko</w:t>
            </w:r>
          </w:p>
        </w:tc>
        <w:tc>
          <w:tcPr>
            <w:tcW w:w="2145" w:type="dxa"/>
          </w:tcPr>
          <w:p w14:paraId="669CABCF"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23781604"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5E281B" w:rsidRPr="009872F3" w14:paraId="3CC5419F" w14:textId="77777777" w:rsidTr="00E7309B">
        <w:trPr>
          <w:trHeight w:val="698"/>
        </w:trPr>
        <w:tc>
          <w:tcPr>
            <w:tcW w:w="1932" w:type="dxa"/>
          </w:tcPr>
          <w:p w14:paraId="5912C1BD" w14:textId="24DAF91E" w:rsidR="005E281B" w:rsidRPr="006749F0" w:rsidRDefault="005E281B" w:rsidP="00E7309B">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xml:space="preserve">/ mittel / </w:t>
            </w:r>
            <w:r w:rsidR="00DD4B74">
              <w:rPr>
                <w:rFonts w:ascii="Arial" w:hAnsi="Arial" w:cs="Arial"/>
                <w:i/>
                <w:sz w:val="18"/>
                <w:szCs w:val="18"/>
                <w:highlight w:val="yellow"/>
              </w:rPr>
              <w:t>hoch</w:t>
            </w:r>
          </w:p>
        </w:tc>
        <w:tc>
          <w:tcPr>
            <w:tcW w:w="2145" w:type="dxa"/>
          </w:tcPr>
          <w:p w14:paraId="3F9F42AE" w14:textId="77777777" w:rsidR="005E281B" w:rsidRPr="006749F0" w:rsidRDefault="005E281B" w:rsidP="00E7309B">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BCDF0F0" w14:textId="77777777" w:rsidR="005E281B" w:rsidRPr="009872F3" w:rsidRDefault="005E281B" w:rsidP="00E7309B">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06A11E54" w14:textId="77777777" w:rsidR="005E281B" w:rsidRDefault="005E281B" w:rsidP="00E7309B">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E1528A5" w14:textId="77777777" w:rsidR="005E281B" w:rsidRPr="006749F0" w:rsidRDefault="005E281B" w:rsidP="00E7309B">
            <w:pPr>
              <w:jc w:val="both"/>
              <w:rPr>
                <w:rFonts w:ascii="Arial" w:hAnsi="Arial" w:cs="Arial"/>
                <w:i/>
                <w:sz w:val="18"/>
                <w:szCs w:val="18"/>
              </w:rPr>
            </w:pPr>
            <w:r w:rsidRPr="006749F0">
              <w:rPr>
                <w:rFonts w:ascii="Arial" w:hAnsi="Arial" w:cs="Arial"/>
                <w:i/>
                <w:sz w:val="18"/>
                <w:szCs w:val="18"/>
                <w:highlight w:val="yellow"/>
              </w:rPr>
              <w:t>Jahr</w:t>
            </w:r>
          </w:p>
        </w:tc>
      </w:tr>
      <w:tr w:rsidR="005E281B" w:rsidRPr="009872F3" w14:paraId="3BBC0E10" w14:textId="77777777" w:rsidTr="00E7309B">
        <w:trPr>
          <w:trHeight w:val="636"/>
        </w:trPr>
        <w:tc>
          <w:tcPr>
            <w:tcW w:w="9180" w:type="dxa"/>
            <w:gridSpan w:val="4"/>
          </w:tcPr>
          <w:p w14:paraId="76733804" w14:textId="77777777" w:rsidR="005E281B" w:rsidRDefault="005E281B" w:rsidP="00E7309B">
            <w:pPr>
              <w:jc w:val="both"/>
              <w:rPr>
                <w:rFonts w:ascii="Arial" w:hAnsi="Arial" w:cs="Arial"/>
                <w:sz w:val="18"/>
                <w:szCs w:val="18"/>
              </w:rPr>
            </w:pPr>
          </w:p>
          <w:p w14:paraId="3D38E7B1" w14:textId="77777777" w:rsidR="005E281B" w:rsidRPr="00F60909" w:rsidRDefault="005E281B" w:rsidP="00E7309B">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B1D3D0E" w14:textId="164593E7" w:rsidR="005E281B" w:rsidRPr="009872F3" w:rsidRDefault="005E281B" w:rsidP="00E7309B">
            <w:pPr>
              <w:jc w:val="both"/>
              <w:rPr>
                <w:rFonts w:ascii="Arial" w:hAnsi="Arial" w:cs="Arial"/>
                <w:sz w:val="18"/>
                <w:szCs w:val="18"/>
              </w:rPr>
            </w:pPr>
            <w:r w:rsidRPr="00136B58">
              <w:rPr>
                <w:rFonts w:ascii="Arial" w:hAnsi="Arial" w:cs="Arial"/>
                <w:sz w:val="18"/>
                <w:szCs w:val="18"/>
                <w:highlight w:val="yellow"/>
              </w:rPr>
              <w:t>Art. 6 und Art. 9 SAG, Anhang I SAG; Art. 4 und 5 SAV; Richtlinie (EU) 2014/59; FMA-Wegleitung 2017/6</w:t>
            </w:r>
            <w:r w:rsidR="003D18A4">
              <w:rPr>
                <w:rFonts w:ascii="Arial" w:hAnsi="Arial" w:cs="Arial"/>
                <w:sz w:val="18"/>
                <w:szCs w:val="18"/>
                <w:highlight w:val="yellow"/>
              </w:rPr>
              <w:t>; EBA/GL/</w:t>
            </w:r>
            <w:r w:rsidR="008E1F80">
              <w:rPr>
                <w:rFonts w:ascii="Arial" w:hAnsi="Arial" w:cs="Arial"/>
                <w:sz w:val="18"/>
                <w:szCs w:val="18"/>
                <w:highlight w:val="yellow"/>
              </w:rPr>
              <w:t>2023/06</w:t>
            </w:r>
            <w:r w:rsidR="003D18A4">
              <w:rPr>
                <w:rFonts w:ascii="Arial" w:hAnsi="Arial" w:cs="Arial"/>
                <w:sz w:val="18"/>
                <w:szCs w:val="18"/>
                <w:highlight w:val="yellow"/>
              </w:rPr>
              <w:t>; EBA/GL/2014/06; EBA/GL/2015/02</w:t>
            </w:r>
          </w:p>
        </w:tc>
      </w:tr>
      <w:tr w:rsidR="005E281B" w:rsidRPr="009872F3" w14:paraId="6314ED2E" w14:textId="77777777" w:rsidTr="00E7309B">
        <w:trPr>
          <w:trHeight w:val="294"/>
        </w:trPr>
        <w:tc>
          <w:tcPr>
            <w:tcW w:w="9180" w:type="dxa"/>
            <w:gridSpan w:val="4"/>
          </w:tcPr>
          <w:p w14:paraId="38745CB2" w14:textId="77777777" w:rsidR="005E281B" w:rsidRPr="009872F3" w:rsidRDefault="005E281B" w:rsidP="00E7309B">
            <w:pPr>
              <w:jc w:val="both"/>
              <w:rPr>
                <w:rFonts w:ascii="Arial" w:hAnsi="Arial" w:cs="Arial"/>
                <w:sz w:val="18"/>
                <w:szCs w:val="18"/>
              </w:rPr>
            </w:pPr>
          </w:p>
        </w:tc>
      </w:tr>
      <w:tr w:rsidR="005E281B" w:rsidRPr="009872F3" w14:paraId="253381BA" w14:textId="77777777" w:rsidTr="00E7309B">
        <w:tc>
          <w:tcPr>
            <w:tcW w:w="5798" w:type="dxa"/>
            <w:gridSpan w:val="3"/>
          </w:tcPr>
          <w:p w14:paraId="34DBF9B8" w14:textId="77777777" w:rsidR="005E281B" w:rsidRPr="009872F3" w:rsidRDefault="005E281B" w:rsidP="00E7309B">
            <w:pPr>
              <w:jc w:val="both"/>
              <w:rPr>
                <w:rFonts w:ascii="Arial" w:hAnsi="Arial" w:cs="Arial"/>
                <w:sz w:val="18"/>
                <w:szCs w:val="18"/>
              </w:rPr>
            </w:pPr>
            <w:r>
              <w:rPr>
                <w:rFonts w:ascii="Arial" w:hAnsi="Arial" w:cs="Arial"/>
                <w:sz w:val="18"/>
                <w:szCs w:val="18"/>
              </w:rPr>
              <w:t>Bestätigung, dass die internen Verfahren und Parameter zur Marktabgrenzung, zur Ermittlung der Kerngeschäftsbereiche, den rechtlichen und wirtschaftlichen Verflechtungen sowie den kritischen Funktionen angemessen sind</w:t>
            </w:r>
          </w:p>
        </w:tc>
        <w:tc>
          <w:tcPr>
            <w:tcW w:w="3382" w:type="dxa"/>
          </w:tcPr>
          <w:p w14:paraId="7607D2EB" w14:textId="77777777" w:rsidR="005E281B" w:rsidRPr="00E109DF" w:rsidRDefault="005E281B" w:rsidP="00E7309B">
            <w:pPr>
              <w:jc w:val="both"/>
              <w:rPr>
                <w:rFonts w:ascii="Arial" w:hAnsi="Arial" w:cs="Arial"/>
                <w:i/>
                <w:sz w:val="18"/>
                <w:szCs w:val="18"/>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7271A5C4" w14:textId="77777777" w:rsidTr="00E7309B">
        <w:tc>
          <w:tcPr>
            <w:tcW w:w="5798" w:type="dxa"/>
            <w:gridSpan w:val="3"/>
          </w:tcPr>
          <w:p w14:paraId="440475E4" w14:textId="0647AFB5" w:rsidR="005E281B" w:rsidRDefault="005E281B" w:rsidP="00E7309B">
            <w:pPr>
              <w:jc w:val="both"/>
              <w:rPr>
                <w:rFonts w:ascii="Arial" w:hAnsi="Arial" w:cs="Arial"/>
                <w:sz w:val="18"/>
                <w:szCs w:val="18"/>
              </w:rPr>
            </w:pPr>
            <w:r>
              <w:rPr>
                <w:rFonts w:ascii="Arial" w:hAnsi="Arial" w:cs="Arial"/>
                <w:sz w:val="18"/>
                <w:szCs w:val="18"/>
              </w:rPr>
              <w:t>Bestätigung, das</w:t>
            </w:r>
            <w:r w:rsidR="000C756C">
              <w:rPr>
                <w:rFonts w:ascii="Arial" w:hAnsi="Arial" w:cs="Arial"/>
                <w:sz w:val="18"/>
                <w:szCs w:val="18"/>
              </w:rPr>
              <w:t xml:space="preserve">s die Sanierungsmassnahmen angemessen sind </w:t>
            </w:r>
            <w:r>
              <w:rPr>
                <w:rFonts w:ascii="Arial" w:hAnsi="Arial" w:cs="Arial"/>
                <w:sz w:val="18"/>
                <w:szCs w:val="18"/>
              </w:rPr>
              <w:t xml:space="preserve">um den gesetzlichen bzw. den von der </w:t>
            </w:r>
            <w:r w:rsidR="006179DA" w:rsidRPr="00BF6946">
              <w:rPr>
                <w:rFonts w:ascii="Arial" w:hAnsi="Arial" w:cs="Arial"/>
                <w:sz w:val="18"/>
                <w:szCs w:val="18"/>
              </w:rPr>
              <w:t>Bank bzw. der Gruppe</w:t>
            </w:r>
            <w:r w:rsidR="006179DA" w:rsidDel="006179DA">
              <w:rPr>
                <w:rFonts w:ascii="Arial" w:hAnsi="Arial" w:cs="Arial"/>
                <w:sz w:val="18"/>
                <w:szCs w:val="18"/>
              </w:rPr>
              <w:t xml:space="preserve"> </w:t>
            </w:r>
            <w:r>
              <w:rPr>
                <w:rFonts w:ascii="Arial" w:hAnsi="Arial" w:cs="Arial"/>
                <w:sz w:val="18"/>
                <w:szCs w:val="18"/>
              </w:rPr>
              <w:t>definierten Zustand wiederherzustellen</w:t>
            </w:r>
          </w:p>
        </w:tc>
        <w:tc>
          <w:tcPr>
            <w:tcW w:w="3382" w:type="dxa"/>
          </w:tcPr>
          <w:p w14:paraId="7A2B83F1"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0C756C" w:rsidRPr="009872F3" w14:paraId="495A2C94" w14:textId="77777777" w:rsidTr="00E7309B">
        <w:tc>
          <w:tcPr>
            <w:tcW w:w="5798" w:type="dxa"/>
            <w:gridSpan w:val="3"/>
          </w:tcPr>
          <w:p w14:paraId="0CF13BBB" w14:textId="77777777" w:rsidR="000C756C" w:rsidRDefault="000C756C" w:rsidP="00E7309B">
            <w:pPr>
              <w:jc w:val="both"/>
              <w:rPr>
                <w:rFonts w:ascii="Arial" w:hAnsi="Arial" w:cs="Arial"/>
                <w:sz w:val="18"/>
                <w:szCs w:val="18"/>
              </w:rPr>
            </w:pPr>
            <w:r>
              <w:rPr>
                <w:rFonts w:ascii="Arial" w:hAnsi="Arial" w:cs="Arial"/>
                <w:sz w:val="18"/>
                <w:szCs w:val="18"/>
              </w:rPr>
              <w:t>Bestätigung, dass die Ausgestaltung und Höhe der Sanierungsindikatoren (Schwellenwerte) angemessen sind</w:t>
            </w:r>
          </w:p>
        </w:tc>
        <w:tc>
          <w:tcPr>
            <w:tcW w:w="3382" w:type="dxa"/>
          </w:tcPr>
          <w:p w14:paraId="1D8D1B39" w14:textId="77777777" w:rsidR="000C756C" w:rsidRPr="00E109DF" w:rsidRDefault="000C756C"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16E07A7B" w14:textId="77777777" w:rsidTr="00E7309B">
        <w:tc>
          <w:tcPr>
            <w:tcW w:w="5798" w:type="dxa"/>
            <w:gridSpan w:val="3"/>
          </w:tcPr>
          <w:p w14:paraId="236CFF90" w14:textId="77777777" w:rsidR="005E281B" w:rsidRDefault="005E281B" w:rsidP="00E7309B">
            <w:pPr>
              <w:jc w:val="both"/>
              <w:rPr>
                <w:rFonts w:ascii="Arial" w:hAnsi="Arial" w:cs="Arial"/>
                <w:sz w:val="18"/>
                <w:szCs w:val="18"/>
              </w:rPr>
            </w:pPr>
            <w:r>
              <w:rPr>
                <w:rFonts w:ascii="Arial" w:hAnsi="Arial" w:cs="Arial"/>
                <w:sz w:val="18"/>
                <w:szCs w:val="18"/>
              </w:rPr>
              <w:t>Bestätigung, dass die internen Verfahren und Annahmen zum Stress-Testing konsistent mit dem ICAAP / ILAAP sind</w:t>
            </w:r>
          </w:p>
        </w:tc>
        <w:tc>
          <w:tcPr>
            <w:tcW w:w="3382" w:type="dxa"/>
          </w:tcPr>
          <w:p w14:paraId="2794E9F7"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40B6028E" w14:textId="77777777" w:rsidTr="00E7309B">
        <w:tc>
          <w:tcPr>
            <w:tcW w:w="5798" w:type="dxa"/>
            <w:gridSpan w:val="3"/>
          </w:tcPr>
          <w:p w14:paraId="3CC77AAE" w14:textId="77777777" w:rsidR="005E281B" w:rsidRDefault="005E281B" w:rsidP="00E7309B">
            <w:pPr>
              <w:jc w:val="both"/>
              <w:rPr>
                <w:rFonts w:ascii="Arial" w:hAnsi="Arial" w:cs="Arial"/>
                <w:sz w:val="18"/>
                <w:szCs w:val="18"/>
              </w:rPr>
            </w:pPr>
            <w:r>
              <w:rPr>
                <w:rFonts w:ascii="Arial" w:hAnsi="Arial" w:cs="Arial"/>
                <w:sz w:val="18"/>
                <w:szCs w:val="18"/>
              </w:rPr>
              <w:t>Bestätigung, dass der Schweregrad, Umfang und die Anzahl der Szenarien angemessen sind</w:t>
            </w:r>
          </w:p>
        </w:tc>
        <w:tc>
          <w:tcPr>
            <w:tcW w:w="3382" w:type="dxa"/>
          </w:tcPr>
          <w:p w14:paraId="4BBA2F51"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r w:rsidR="005E281B" w:rsidRPr="009872F3" w14:paraId="12EF57D3" w14:textId="77777777" w:rsidTr="00E7309B">
        <w:tc>
          <w:tcPr>
            <w:tcW w:w="5798" w:type="dxa"/>
            <w:gridSpan w:val="3"/>
          </w:tcPr>
          <w:p w14:paraId="218CCA0B" w14:textId="77777777" w:rsidR="005E281B" w:rsidRDefault="005E281B" w:rsidP="00E7309B">
            <w:pPr>
              <w:jc w:val="both"/>
              <w:rPr>
                <w:rFonts w:ascii="Arial" w:hAnsi="Arial" w:cs="Arial"/>
                <w:sz w:val="18"/>
                <w:szCs w:val="18"/>
              </w:rPr>
            </w:pPr>
            <w:r>
              <w:rPr>
                <w:rFonts w:ascii="Arial" w:hAnsi="Arial" w:cs="Arial"/>
                <w:sz w:val="18"/>
                <w:szCs w:val="18"/>
              </w:rPr>
              <w:t>Bestätigung, dass zur Durchführung der Notfallkonzepte angemessene interne Verfahren bestehen</w:t>
            </w:r>
          </w:p>
        </w:tc>
        <w:tc>
          <w:tcPr>
            <w:tcW w:w="3382" w:type="dxa"/>
          </w:tcPr>
          <w:p w14:paraId="312FD446" w14:textId="77777777" w:rsidR="005E281B" w:rsidRPr="00E109DF" w:rsidRDefault="005E281B" w:rsidP="00E7309B">
            <w:pPr>
              <w:jc w:val="both"/>
              <w:rPr>
                <w:rFonts w:ascii="Arial" w:hAnsi="Arial" w:cs="Arial"/>
                <w:i/>
                <w:sz w:val="18"/>
                <w:szCs w:val="18"/>
                <w:highlight w:val="yellow"/>
              </w:rPr>
            </w:pPr>
            <w:r w:rsidRPr="00E109DF">
              <w:rPr>
                <w:rFonts w:ascii="Arial" w:hAnsi="Arial" w:cs="Arial"/>
                <w:i/>
                <w:sz w:val="18"/>
                <w:szCs w:val="18"/>
                <w:highlight w:val="yellow"/>
              </w:rPr>
              <w:t>Ja (</w:t>
            </w:r>
            <w:r>
              <w:rPr>
                <w:rFonts w:ascii="Arial" w:hAnsi="Arial" w:cs="Arial"/>
                <w:i/>
                <w:sz w:val="18"/>
                <w:szCs w:val="18"/>
                <w:highlight w:val="yellow"/>
              </w:rPr>
              <w:t>Detailprüfung</w:t>
            </w:r>
            <w:r w:rsidRPr="00E109DF">
              <w:rPr>
                <w:rFonts w:ascii="Arial" w:hAnsi="Arial" w:cs="Arial"/>
                <w:i/>
                <w:sz w:val="18"/>
                <w:szCs w:val="18"/>
                <w:highlight w:val="yellow"/>
              </w:rPr>
              <w:t xml:space="preserve"> / Kritische Beurteilung) / Nein</w:t>
            </w:r>
          </w:p>
        </w:tc>
      </w:tr>
    </w:tbl>
    <w:p w14:paraId="0308FDB1" w14:textId="77777777" w:rsidR="005E281B" w:rsidRDefault="005E281B" w:rsidP="005E281B">
      <w:pPr>
        <w:jc w:val="both"/>
      </w:pPr>
    </w:p>
    <w:tbl>
      <w:tblPr>
        <w:tblStyle w:val="Tabellenraster"/>
        <w:tblW w:w="0" w:type="auto"/>
        <w:tblLook w:val="04A0" w:firstRow="1" w:lastRow="0" w:firstColumn="1" w:lastColumn="0" w:noHBand="0" w:noVBand="1"/>
      </w:tblPr>
      <w:tblGrid>
        <w:gridCol w:w="2660"/>
        <w:gridCol w:w="6520"/>
      </w:tblGrid>
      <w:tr w:rsidR="005E281B" w:rsidRPr="00CE3194" w14:paraId="35AFF90D" w14:textId="77777777" w:rsidTr="00E7309B">
        <w:tc>
          <w:tcPr>
            <w:tcW w:w="2660" w:type="dxa"/>
          </w:tcPr>
          <w:p w14:paraId="0AF92015" w14:textId="77777777" w:rsidR="005E281B" w:rsidRPr="00CE3194" w:rsidRDefault="005E281B" w:rsidP="00E7309B">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125082A0" w14:textId="77777777" w:rsidR="005E281B" w:rsidRPr="00CE3194" w:rsidRDefault="005E281B" w:rsidP="00E7309B">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5E281B" w:rsidRPr="00CE3194" w14:paraId="1399535B" w14:textId="77777777" w:rsidTr="00E7309B">
        <w:tc>
          <w:tcPr>
            <w:tcW w:w="2660" w:type="dxa"/>
          </w:tcPr>
          <w:p w14:paraId="3AF23683" w14:textId="77777777" w:rsidR="005E281B" w:rsidRDefault="005E281B" w:rsidP="00E7309B">
            <w:pPr>
              <w:jc w:val="both"/>
              <w:rPr>
                <w:rFonts w:ascii="Arial" w:hAnsi="Arial" w:cs="Arial"/>
                <w:i/>
                <w:sz w:val="20"/>
                <w:szCs w:val="20"/>
                <w:highlight w:val="lightGray"/>
              </w:rPr>
            </w:pPr>
            <w:r>
              <w:rPr>
                <w:rFonts w:ascii="Arial" w:hAnsi="Arial" w:cs="Arial"/>
                <w:i/>
                <w:sz w:val="20"/>
                <w:szCs w:val="20"/>
                <w:highlight w:val="lightGray"/>
              </w:rPr>
              <w:t>Sanierungsplanung</w:t>
            </w:r>
          </w:p>
        </w:tc>
        <w:tc>
          <w:tcPr>
            <w:tcW w:w="6520" w:type="dxa"/>
          </w:tcPr>
          <w:p w14:paraId="79220605" w14:textId="77777777" w:rsidR="005E281B" w:rsidRPr="00136B58" w:rsidRDefault="005E281B" w:rsidP="00E7309B">
            <w:pPr>
              <w:pStyle w:val="Listenabsatz"/>
              <w:numPr>
                <w:ilvl w:val="1"/>
                <w:numId w:val="17"/>
              </w:numPr>
              <w:ind w:left="317" w:hanging="283"/>
              <w:jc w:val="both"/>
              <w:rPr>
                <w:rFonts w:cs="Arial"/>
                <w:i/>
                <w:szCs w:val="20"/>
                <w:highlight w:val="lightGray"/>
              </w:rPr>
            </w:pPr>
            <w:r>
              <w:rPr>
                <w:rFonts w:cs="Arial"/>
                <w:i/>
                <w:szCs w:val="20"/>
                <w:highlight w:val="lightGray"/>
              </w:rPr>
              <w:t xml:space="preserve">Die </w:t>
            </w:r>
            <w:r w:rsidRPr="00136B58">
              <w:rPr>
                <w:rFonts w:cs="Arial"/>
                <w:i/>
                <w:szCs w:val="20"/>
                <w:highlight w:val="lightGray"/>
              </w:rPr>
              <w:t>Verfahren und Parameter zur Marktabgrenzung (sachlich und geografisch), Ermittlung der Kerngeschäftsbereiche und rechtlichen und wirtschaftlichen Verflechtungen sowie der kritischen Funktionen innerhalb des Instituts</w:t>
            </w:r>
            <w:r>
              <w:rPr>
                <w:rFonts w:cs="Arial"/>
                <w:i/>
                <w:szCs w:val="20"/>
                <w:highlight w:val="lightGray"/>
              </w:rPr>
              <w:t xml:space="preserve"> sind angemessen</w:t>
            </w:r>
          </w:p>
          <w:p w14:paraId="294DE421" w14:textId="5FF4D15F" w:rsidR="005E281B"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Die Sanierungsmassnahmen sind angemessen um den gesetzlichen bzw. den vom Institut definierten Zustand wiederherzustellen (finanzielle, operative und externe Auswirkungen; Durchführbarkeit; Zeitrahmen)</w:t>
            </w:r>
            <w:r w:rsidR="00C66A05">
              <w:rPr>
                <w:rFonts w:cs="Arial"/>
                <w:i/>
                <w:szCs w:val="20"/>
                <w:highlight w:val="lightGray"/>
              </w:rPr>
              <w:t xml:space="preserve">. </w:t>
            </w:r>
          </w:p>
          <w:p w14:paraId="2C3598A3" w14:textId="77777777" w:rsidR="000C756C" w:rsidRPr="00136B58" w:rsidRDefault="000C756C" w:rsidP="00E7309B">
            <w:pPr>
              <w:pStyle w:val="Listenabsatz"/>
              <w:numPr>
                <w:ilvl w:val="1"/>
                <w:numId w:val="17"/>
              </w:numPr>
              <w:ind w:left="317" w:hanging="283"/>
              <w:jc w:val="both"/>
              <w:rPr>
                <w:rFonts w:cs="Arial"/>
                <w:i/>
                <w:szCs w:val="20"/>
                <w:highlight w:val="lightGray"/>
              </w:rPr>
            </w:pPr>
            <w:r>
              <w:rPr>
                <w:rFonts w:cs="Arial"/>
                <w:i/>
                <w:szCs w:val="20"/>
                <w:highlight w:val="lightGray"/>
              </w:rPr>
              <w:t>Die Ausgestaltung und Höhe der Sanierungsindikatoren sind angemessen</w:t>
            </w:r>
          </w:p>
          <w:p w14:paraId="1F2D661B" w14:textId="77777777" w:rsidR="005E281B" w:rsidRPr="00136B58"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 xml:space="preserve">Die Verfahren und Annahmen zu Stress-Testing sind konsistent mit dem ICAAP / ILAAP </w:t>
            </w:r>
          </w:p>
          <w:p w14:paraId="2BB2D8D3" w14:textId="77777777" w:rsidR="005E281B" w:rsidRPr="00136B58" w:rsidRDefault="005E281B" w:rsidP="00E7309B">
            <w:pPr>
              <w:pStyle w:val="Listenabsatz"/>
              <w:numPr>
                <w:ilvl w:val="1"/>
                <w:numId w:val="17"/>
              </w:numPr>
              <w:ind w:left="317" w:hanging="283"/>
              <w:jc w:val="both"/>
              <w:rPr>
                <w:rFonts w:cs="Arial"/>
                <w:i/>
                <w:szCs w:val="20"/>
                <w:highlight w:val="lightGray"/>
              </w:rPr>
            </w:pPr>
            <w:r>
              <w:rPr>
                <w:rFonts w:cs="Arial"/>
                <w:i/>
                <w:szCs w:val="20"/>
                <w:highlight w:val="lightGray"/>
              </w:rPr>
              <w:t xml:space="preserve">Der </w:t>
            </w:r>
            <w:r w:rsidRPr="00136B58">
              <w:rPr>
                <w:rFonts w:cs="Arial"/>
                <w:i/>
                <w:szCs w:val="20"/>
                <w:highlight w:val="lightGray"/>
              </w:rPr>
              <w:t xml:space="preserve">Schweregrad, Umfang und </w:t>
            </w:r>
            <w:r>
              <w:rPr>
                <w:rFonts w:cs="Arial"/>
                <w:i/>
                <w:szCs w:val="20"/>
                <w:highlight w:val="lightGray"/>
              </w:rPr>
              <w:t xml:space="preserve">die </w:t>
            </w:r>
            <w:r w:rsidRPr="00136B58">
              <w:rPr>
                <w:rFonts w:cs="Arial"/>
                <w:i/>
                <w:szCs w:val="20"/>
                <w:highlight w:val="lightGray"/>
              </w:rPr>
              <w:t>Anzahl der Szenarien sind angemessen</w:t>
            </w:r>
          </w:p>
          <w:p w14:paraId="0734E747" w14:textId="77777777" w:rsidR="005E281B" w:rsidRPr="004D4B39" w:rsidRDefault="005E281B" w:rsidP="00E7309B">
            <w:pPr>
              <w:pStyle w:val="Listenabsatz"/>
              <w:numPr>
                <w:ilvl w:val="1"/>
                <w:numId w:val="17"/>
              </w:numPr>
              <w:ind w:left="317" w:hanging="283"/>
              <w:jc w:val="both"/>
              <w:rPr>
                <w:rFonts w:cs="Arial"/>
                <w:i/>
                <w:szCs w:val="20"/>
                <w:highlight w:val="lightGray"/>
              </w:rPr>
            </w:pPr>
            <w:r w:rsidRPr="00136B58">
              <w:rPr>
                <w:rFonts w:cs="Arial"/>
                <w:i/>
                <w:szCs w:val="20"/>
                <w:highlight w:val="lightGray"/>
              </w:rPr>
              <w:t>Für die Durchführung der Notfallkonzepte bestehen angemessene interne Verfahren</w:t>
            </w:r>
          </w:p>
        </w:tc>
      </w:tr>
    </w:tbl>
    <w:p w14:paraId="7C1F8540" w14:textId="77777777" w:rsidR="005E281B" w:rsidRDefault="005E281B" w:rsidP="005E281B">
      <w:pPr>
        <w:jc w:val="both"/>
      </w:pPr>
    </w:p>
    <w:p w14:paraId="6047D51F" w14:textId="77777777" w:rsidR="005E281B" w:rsidRDefault="005E281B" w:rsidP="005E281B">
      <w:pPr>
        <w:jc w:val="both"/>
      </w:pPr>
      <w:r w:rsidRPr="00276C60">
        <w:rPr>
          <w:rFonts w:ascii="Arial" w:hAnsi="Arial" w:cs="Arial"/>
          <w:i/>
          <w:sz w:val="20"/>
          <w:szCs w:val="20"/>
          <w:highlight w:val="yellow"/>
        </w:rPr>
        <w:t>Text</w:t>
      </w:r>
    </w:p>
    <w:p w14:paraId="3EC7DD41" w14:textId="77777777" w:rsidR="001B7BDD" w:rsidRDefault="001B7BDD" w:rsidP="00CB3EE6">
      <w:pPr>
        <w:jc w:val="both"/>
      </w:pPr>
    </w:p>
    <w:p w14:paraId="69FB5F54" w14:textId="7F93C711" w:rsidR="00636495" w:rsidRDefault="00C1386F" w:rsidP="00636495">
      <w:pPr>
        <w:pStyle w:val="FINMAGliederungEbene3"/>
      </w:pPr>
      <w:bookmarkStart w:id="81" w:name="_Toc216425823"/>
      <w:r>
        <w:lastRenderedPageBreak/>
        <w:t>Zahlungsdienstrichtlinie (PSD II)</w:t>
      </w:r>
      <w:r w:rsidR="00636495">
        <w:t xml:space="preserve"> (And-4)</w:t>
      </w:r>
      <w:bookmarkEnd w:id="81"/>
    </w:p>
    <w:p w14:paraId="50194E15" w14:textId="77777777" w:rsidR="00636495" w:rsidRDefault="00636495" w:rsidP="00636495">
      <w:pPr>
        <w:jc w:val="both"/>
      </w:pPr>
    </w:p>
    <w:tbl>
      <w:tblPr>
        <w:tblStyle w:val="Tabellenraster"/>
        <w:tblW w:w="0" w:type="auto"/>
        <w:tblLook w:val="04A0" w:firstRow="1" w:lastRow="0" w:firstColumn="1" w:lastColumn="0" w:noHBand="0" w:noVBand="1"/>
      </w:tblPr>
      <w:tblGrid>
        <w:gridCol w:w="1477"/>
        <w:gridCol w:w="2220"/>
        <w:gridCol w:w="2083"/>
        <w:gridCol w:w="3734"/>
      </w:tblGrid>
      <w:tr w:rsidR="00636495" w:rsidRPr="009872F3" w14:paraId="68569647" w14:textId="77777777" w:rsidTr="009A130D">
        <w:trPr>
          <w:trHeight w:val="563"/>
        </w:trPr>
        <w:tc>
          <w:tcPr>
            <w:tcW w:w="1477" w:type="dxa"/>
          </w:tcPr>
          <w:p w14:paraId="75D56CEB" w14:textId="77777777" w:rsidR="00636495" w:rsidRPr="009872F3" w:rsidRDefault="00636495" w:rsidP="00FC0BF3">
            <w:pPr>
              <w:jc w:val="both"/>
              <w:rPr>
                <w:rFonts w:ascii="Arial" w:hAnsi="Arial" w:cs="Arial"/>
                <w:sz w:val="18"/>
                <w:szCs w:val="18"/>
              </w:rPr>
            </w:pPr>
            <w:r w:rsidRPr="009872F3">
              <w:rPr>
                <w:rFonts w:ascii="Arial" w:hAnsi="Arial" w:cs="Arial"/>
                <w:sz w:val="18"/>
                <w:szCs w:val="18"/>
              </w:rPr>
              <w:t>Nettorisiko</w:t>
            </w:r>
          </w:p>
        </w:tc>
        <w:tc>
          <w:tcPr>
            <w:tcW w:w="4303" w:type="dxa"/>
            <w:gridSpan w:val="2"/>
          </w:tcPr>
          <w:p w14:paraId="17C065CA" w14:textId="77777777" w:rsidR="00636495" w:rsidRPr="009872F3" w:rsidRDefault="00636495" w:rsidP="00FC0BF3">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734" w:type="dxa"/>
          </w:tcPr>
          <w:p w14:paraId="4B0DB7F2" w14:textId="77777777" w:rsidR="00636495" w:rsidRPr="009872F3" w:rsidRDefault="00636495" w:rsidP="00FC0BF3">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9A130D" w:rsidRPr="009872F3" w14:paraId="7A932416" w14:textId="77777777" w:rsidTr="009A130D">
        <w:trPr>
          <w:trHeight w:val="698"/>
        </w:trPr>
        <w:tc>
          <w:tcPr>
            <w:tcW w:w="1477" w:type="dxa"/>
          </w:tcPr>
          <w:p w14:paraId="5CD01A0D" w14:textId="77777777" w:rsidR="009A130D" w:rsidRPr="006749F0" w:rsidRDefault="009A130D" w:rsidP="009A130D">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303" w:type="dxa"/>
            <w:gridSpan w:val="2"/>
          </w:tcPr>
          <w:p w14:paraId="3FC0B530" w14:textId="77777777" w:rsidR="009A130D" w:rsidRPr="00667026" w:rsidRDefault="009A130D" w:rsidP="009A130D">
            <w:pPr>
              <w:jc w:val="both"/>
              <w:rPr>
                <w:rFonts w:ascii="Arial" w:hAnsi="Arial" w:cs="Arial"/>
                <w:sz w:val="18"/>
                <w:szCs w:val="18"/>
                <w:highlight w:val="yellow"/>
              </w:rPr>
            </w:pPr>
            <w:r>
              <w:rPr>
                <w:rFonts w:ascii="Arial" w:hAnsi="Arial" w:cs="Arial"/>
                <w:sz w:val="18"/>
                <w:szCs w:val="18"/>
                <w:highlight w:val="yellow"/>
              </w:rPr>
              <w:t>Beispiel für Berichtsjahr 2024:</w:t>
            </w:r>
          </w:p>
          <w:p w14:paraId="5EF3D92A" w14:textId="77777777" w:rsidR="009A130D" w:rsidRPr="00F0453E" w:rsidRDefault="009A130D" w:rsidP="009A130D">
            <w:pPr>
              <w:jc w:val="both"/>
              <w:rPr>
                <w:rFonts w:ascii="Arial" w:hAnsi="Arial" w:cs="Arial"/>
                <w:sz w:val="18"/>
                <w:szCs w:val="18"/>
                <w:highlight w:val="yellow"/>
              </w:rPr>
            </w:pPr>
            <w:r w:rsidRPr="00F0453E">
              <w:rPr>
                <w:rFonts w:ascii="Arial" w:hAnsi="Arial" w:cs="Arial"/>
                <w:sz w:val="18"/>
                <w:szCs w:val="18"/>
                <w:highlight w:val="yellow"/>
              </w:rPr>
              <w:t>Zugangsschnittstellen und dedizierte Schnittstellen (Detailprüfung)</w:t>
            </w:r>
          </w:p>
          <w:p w14:paraId="0D71A8AF" w14:textId="3FD26138" w:rsidR="009A130D" w:rsidRPr="00CB3EE6" w:rsidRDefault="009A130D" w:rsidP="009A130D">
            <w:pPr>
              <w:pStyle w:val="Listenabsatz"/>
              <w:numPr>
                <w:ilvl w:val="1"/>
                <w:numId w:val="17"/>
              </w:numPr>
              <w:ind w:left="197" w:hanging="197"/>
              <w:jc w:val="both"/>
              <w:rPr>
                <w:rFonts w:cs="Arial"/>
                <w:sz w:val="18"/>
                <w:szCs w:val="18"/>
                <w:highlight w:val="yellow"/>
              </w:rPr>
            </w:pPr>
          </w:p>
        </w:tc>
        <w:tc>
          <w:tcPr>
            <w:tcW w:w="3734" w:type="dxa"/>
          </w:tcPr>
          <w:p w14:paraId="4BDEFB38" w14:textId="77777777" w:rsidR="009A130D" w:rsidRDefault="009A130D" w:rsidP="009A130D">
            <w:pPr>
              <w:jc w:val="both"/>
              <w:rPr>
                <w:rFonts w:ascii="Arial" w:hAnsi="Arial" w:cs="Arial"/>
                <w:i/>
                <w:sz w:val="18"/>
                <w:szCs w:val="18"/>
              </w:rPr>
            </w:pPr>
            <w:r w:rsidRPr="00667026">
              <w:rPr>
                <w:rFonts w:ascii="Arial" w:hAnsi="Arial" w:cs="Arial"/>
                <w:i/>
                <w:sz w:val="18"/>
                <w:szCs w:val="18"/>
                <w:highlight w:val="yellow"/>
              </w:rPr>
              <w:t>Beispiel:</w:t>
            </w:r>
          </w:p>
          <w:p w14:paraId="445880D0" w14:textId="77777777" w:rsidR="009A130D" w:rsidRPr="00F0453E" w:rsidRDefault="009A130D" w:rsidP="009A130D">
            <w:pPr>
              <w:jc w:val="both"/>
              <w:rPr>
                <w:rFonts w:ascii="Arial" w:hAnsi="Arial" w:cs="Arial"/>
                <w:sz w:val="18"/>
                <w:szCs w:val="18"/>
                <w:highlight w:val="yellow"/>
              </w:rPr>
            </w:pPr>
            <w:r w:rsidRPr="00F0453E">
              <w:rPr>
                <w:rFonts w:ascii="Arial" w:hAnsi="Arial" w:cs="Arial"/>
                <w:sz w:val="18"/>
                <w:szCs w:val="18"/>
                <w:highlight w:val="yellow"/>
              </w:rPr>
              <w:t>20</w:t>
            </w:r>
            <w:r>
              <w:rPr>
                <w:rFonts w:ascii="Arial" w:hAnsi="Arial" w:cs="Arial"/>
                <w:sz w:val="18"/>
                <w:szCs w:val="18"/>
                <w:highlight w:val="yellow"/>
              </w:rPr>
              <w:t>23</w:t>
            </w:r>
            <w:r w:rsidRPr="00F0453E">
              <w:rPr>
                <w:rFonts w:ascii="Arial" w:hAnsi="Arial" w:cs="Arial"/>
                <w:sz w:val="18"/>
                <w:szCs w:val="18"/>
                <w:highlight w:val="yellow"/>
              </w:rPr>
              <w:t>: Starke Kundenauthentifizierung (Kritische Beurteilung)</w:t>
            </w:r>
          </w:p>
          <w:p w14:paraId="05CF3E3B" w14:textId="28D12B08" w:rsidR="009A130D" w:rsidRPr="006749F0" w:rsidRDefault="009A130D" w:rsidP="009A130D">
            <w:pPr>
              <w:jc w:val="both"/>
              <w:rPr>
                <w:rFonts w:ascii="Arial" w:hAnsi="Arial" w:cs="Arial"/>
                <w:i/>
                <w:sz w:val="18"/>
                <w:szCs w:val="18"/>
              </w:rPr>
            </w:pPr>
          </w:p>
        </w:tc>
      </w:tr>
      <w:tr w:rsidR="009A130D" w:rsidRPr="009872F3" w14:paraId="53D50AA6" w14:textId="77777777" w:rsidTr="009A130D">
        <w:trPr>
          <w:trHeight w:val="133"/>
        </w:trPr>
        <w:tc>
          <w:tcPr>
            <w:tcW w:w="9514" w:type="dxa"/>
            <w:gridSpan w:val="4"/>
          </w:tcPr>
          <w:p w14:paraId="79DC6B35" w14:textId="77777777" w:rsidR="009A130D" w:rsidRDefault="009A130D" w:rsidP="009A130D">
            <w:pPr>
              <w:jc w:val="both"/>
              <w:rPr>
                <w:rFonts w:ascii="Arial" w:hAnsi="Arial" w:cs="Arial"/>
                <w:sz w:val="18"/>
                <w:szCs w:val="18"/>
              </w:rPr>
            </w:pPr>
          </w:p>
          <w:p w14:paraId="1809BCD4" w14:textId="77777777" w:rsidR="009A130D" w:rsidRDefault="009A130D" w:rsidP="009A130D">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489DCC22" w14:textId="77777777" w:rsidR="009A130D" w:rsidRDefault="009A130D" w:rsidP="009A130D">
            <w:pPr>
              <w:jc w:val="both"/>
              <w:rPr>
                <w:rFonts w:ascii="Arial" w:hAnsi="Arial" w:cs="Arial"/>
                <w:sz w:val="18"/>
                <w:szCs w:val="18"/>
                <w:highlight w:val="yellow"/>
              </w:rPr>
            </w:pPr>
          </w:p>
          <w:p w14:paraId="68AD1A40" w14:textId="77777777" w:rsidR="009A130D" w:rsidRPr="009872F3" w:rsidRDefault="009A130D" w:rsidP="009A130D">
            <w:pPr>
              <w:jc w:val="both"/>
              <w:rPr>
                <w:rFonts w:ascii="Arial" w:hAnsi="Arial" w:cs="Arial"/>
                <w:sz w:val="18"/>
                <w:szCs w:val="18"/>
              </w:rPr>
            </w:pPr>
            <w:r w:rsidRPr="00A1206C">
              <w:rPr>
                <w:rFonts w:ascii="Arial" w:hAnsi="Arial" w:cs="Arial"/>
                <w:sz w:val="18"/>
                <w:szCs w:val="18"/>
                <w:highlight w:val="yellow"/>
              </w:rPr>
              <w:t>siehe unten</w:t>
            </w:r>
          </w:p>
        </w:tc>
      </w:tr>
      <w:tr w:rsidR="009A130D" w:rsidRPr="009872F3" w14:paraId="581A0E1C" w14:textId="77777777" w:rsidTr="009A130D">
        <w:trPr>
          <w:trHeight w:val="294"/>
        </w:trPr>
        <w:tc>
          <w:tcPr>
            <w:tcW w:w="3697" w:type="dxa"/>
            <w:gridSpan w:val="2"/>
          </w:tcPr>
          <w:p w14:paraId="2F0676BF" w14:textId="77777777" w:rsidR="009A130D" w:rsidRPr="009872F3" w:rsidRDefault="009A130D" w:rsidP="009A130D">
            <w:pPr>
              <w:jc w:val="both"/>
              <w:rPr>
                <w:rFonts w:ascii="Arial" w:hAnsi="Arial" w:cs="Arial"/>
                <w:sz w:val="18"/>
                <w:szCs w:val="18"/>
              </w:rPr>
            </w:pPr>
          </w:p>
        </w:tc>
        <w:tc>
          <w:tcPr>
            <w:tcW w:w="5817" w:type="dxa"/>
            <w:gridSpan w:val="2"/>
          </w:tcPr>
          <w:p w14:paraId="26063B34" w14:textId="77777777" w:rsidR="009A130D" w:rsidRPr="009872F3" w:rsidRDefault="009A130D" w:rsidP="009A130D">
            <w:pPr>
              <w:jc w:val="both"/>
              <w:rPr>
                <w:rFonts w:ascii="Arial" w:hAnsi="Arial" w:cs="Arial"/>
                <w:sz w:val="18"/>
                <w:szCs w:val="18"/>
              </w:rPr>
            </w:pPr>
          </w:p>
        </w:tc>
      </w:tr>
      <w:tr w:rsidR="009A130D" w:rsidRPr="009872F3" w14:paraId="7DDF370B" w14:textId="77777777" w:rsidTr="009A130D">
        <w:tc>
          <w:tcPr>
            <w:tcW w:w="5780" w:type="dxa"/>
            <w:gridSpan w:val="3"/>
          </w:tcPr>
          <w:p w14:paraId="7A9C284D" w14:textId="77777777" w:rsidR="009A130D" w:rsidRPr="00667026" w:rsidRDefault="009A130D" w:rsidP="009A130D">
            <w:pPr>
              <w:jc w:val="both"/>
              <w:rPr>
                <w:rFonts w:ascii="Arial" w:hAnsi="Arial" w:cs="Arial"/>
                <w:i/>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53C313E6" w14:textId="77777777" w:rsidR="009A130D" w:rsidRPr="00C3479D" w:rsidRDefault="009A130D" w:rsidP="009A13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9A130D" w:rsidRPr="009872F3" w14:paraId="2B799A00" w14:textId="77777777" w:rsidTr="009A130D">
        <w:tc>
          <w:tcPr>
            <w:tcW w:w="5780" w:type="dxa"/>
            <w:gridSpan w:val="3"/>
          </w:tcPr>
          <w:p w14:paraId="774F8EB0" w14:textId="77777777" w:rsidR="009A130D" w:rsidRPr="009872F3" w:rsidRDefault="009A130D" w:rsidP="009A13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4221F325" w14:textId="77777777" w:rsidR="009A130D" w:rsidRPr="00E109DF" w:rsidRDefault="009A130D" w:rsidP="009A130D">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9A130D" w:rsidRPr="009872F3" w14:paraId="78C1679A" w14:textId="77777777" w:rsidTr="009A130D">
        <w:tc>
          <w:tcPr>
            <w:tcW w:w="5780" w:type="dxa"/>
            <w:gridSpan w:val="3"/>
          </w:tcPr>
          <w:p w14:paraId="7315B761" w14:textId="77777777" w:rsidR="009A130D" w:rsidRDefault="009A130D" w:rsidP="009A130D">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734" w:type="dxa"/>
          </w:tcPr>
          <w:p w14:paraId="23290C16" w14:textId="77777777" w:rsidR="009A130D" w:rsidRPr="00E109DF" w:rsidRDefault="009A130D" w:rsidP="009A130D">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9A130D" w:rsidRPr="009872F3" w14:paraId="5B9C85CA" w14:textId="77777777" w:rsidTr="009A130D">
        <w:tc>
          <w:tcPr>
            <w:tcW w:w="5780" w:type="dxa"/>
            <w:gridSpan w:val="3"/>
          </w:tcPr>
          <w:p w14:paraId="2EB08751" w14:textId="77777777" w:rsidR="009A130D" w:rsidRPr="00667026" w:rsidRDefault="009A130D" w:rsidP="009A130D">
            <w:pPr>
              <w:jc w:val="both"/>
              <w:rPr>
                <w:rFonts w:ascii="Arial" w:hAnsi="Arial" w:cs="Arial"/>
                <w:i/>
                <w:sz w:val="18"/>
                <w:szCs w:val="18"/>
                <w:highlight w:val="yellow"/>
              </w:rPr>
            </w:pPr>
            <w:r>
              <w:rPr>
                <w:rFonts w:ascii="Arial" w:hAnsi="Arial" w:cs="Arial"/>
                <w:i/>
                <w:sz w:val="18"/>
                <w:szCs w:val="18"/>
                <w:highlight w:val="yellow"/>
              </w:rPr>
              <w:t>etc.</w:t>
            </w:r>
          </w:p>
        </w:tc>
        <w:tc>
          <w:tcPr>
            <w:tcW w:w="3734" w:type="dxa"/>
          </w:tcPr>
          <w:p w14:paraId="4543F861" w14:textId="77777777" w:rsidR="009A130D" w:rsidRPr="00C3479D" w:rsidRDefault="009A130D" w:rsidP="009A130D">
            <w:pPr>
              <w:jc w:val="both"/>
              <w:rPr>
                <w:rFonts w:ascii="Arial" w:hAnsi="Arial" w:cs="Arial"/>
                <w:i/>
                <w:sz w:val="18"/>
                <w:szCs w:val="18"/>
                <w:highlight w:val="yellow"/>
              </w:rPr>
            </w:pPr>
          </w:p>
        </w:tc>
      </w:tr>
    </w:tbl>
    <w:p w14:paraId="1EC58D72" w14:textId="77777777" w:rsidR="00636495" w:rsidRDefault="00636495" w:rsidP="00636495">
      <w:pPr>
        <w:jc w:val="both"/>
      </w:pPr>
    </w:p>
    <w:tbl>
      <w:tblPr>
        <w:tblStyle w:val="Tabellenraster"/>
        <w:tblW w:w="9740" w:type="dxa"/>
        <w:tblLayout w:type="fixed"/>
        <w:tblLook w:val="04A0" w:firstRow="1" w:lastRow="0" w:firstColumn="1" w:lastColumn="0" w:noHBand="0" w:noVBand="1"/>
      </w:tblPr>
      <w:tblGrid>
        <w:gridCol w:w="1668"/>
        <w:gridCol w:w="4677"/>
        <w:gridCol w:w="3395"/>
      </w:tblGrid>
      <w:tr w:rsidR="00636495" w:rsidRPr="00CB3EE6" w14:paraId="4453F624" w14:textId="77777777" w:rsidTr="009E4FE7">
        <w:tc>
          <w:tcPr>
            <w:tcW w:w="1668" w:type="dxa"/>
          </w:tcPr>
          <w:p w14:paraId="1BD019F2" w14:textId="77777777" w:rsidR="00636495" w:rsidRPr="004E2370" w:rsidRDefault="00636495" w:rsidP="00FC0BF3">
            <w:pPr>
              <w:jc w:val="both"/>
              <w:rPr>
                <w:rFonts w:ascii="Arial" w:hAnsi="Arial" w:cs="Arial"/>
                <w:b/>
                <w:i/>
                <w:sz w:val="20"/>
                <w:szCs w:val="20"/>
                <w:highlight w:val="lightGray"/>
              </w:rPr>
            </w:pPr>
            <w:r w:rsidRPr="004E2370">
              <w:rPr>
                <w:rFonts w:ascii="Arial" w:hAnsi="Arial" w:cs="Arial"/>
                <w:b/>
                <w:i/>
                <w:sz w:val="20"/>
                <w:szCs w:val="20"/>
                <w:highlight w:val="lightGray"/>
              </w:rPr>
              <w:t>Prüfelemente</w:t>
            </w:r>
          </w:p>
        </w:tc>
        <w:tc>
          <w:tcPr>
            <w:tcW w:w="4677" w:type="dxa"/>
          </w:tcPr>
          <w:p w14:paraId="19800FFD" w14:textId="77777777" w:rsidR="00636495" w:rsidRPr="004E2370" w:rsidRDefault="00636495" w:rsidP="00FC0BF3">
            <w:pPr>
              <w:jc w:val="both"/>
              <w:rPr>
                <w:rFonts w:ascii="Arial" w:hAnsi="Arial" w:cs="Arial"/>
                <w:b/>
                <w:i/>
                <w:sz w:val="20"/>
                <w:szCs w:val="20"/>
                <w:highlight w:val="lightGray"/>
              </w:rPr>
            </w:pPr>
            <w:r w:rsidRPr="004E2370">
              <w:rPr>
                <w:rFonts w:ascii="Arial" w:hAnsi="Arial" w:cs="Arial"/>
                <w:b/>
                <w:i/>
                <w:sz w:val="20"/>
                <w:szCs w:val="20"/>
                <w:highlight w:val="lightGray"/>
              </w:rPr>
              <w:t>Mindestprüfinhalte</w:t>
            </w:r>
          </w:p>
        </w:tc>
        <w:tc>
          <w:tcPr>
            <w:tcW w:w="3395" w:type="dxa"/>
          </w:tcPr>
          <w:p w14:paraId="60F223CA" w14:textId="77777777" w:rsidR="00636495" w:rsidRPr="000C756C" w:rsidRDefault="00636495" w:rsidP="00FC0BF3">
            <w:pPr>
              <w:jc w:val="both"/>
              <w:rPr>
                <w:rFonts w:ascii="Arial" w:hAnsi="Arial" w:cs="Arial"/>
                <w:b/>
                <w:i/>
                <w:sz w:val="20"/>
                <w:szCs w:val="20"/>
                <w:highlight w:val="lightGray"/>
              </w:rPr>
            </w:pPr>
            <w:r w:rsidRPr="000C756C">
              <w:rPr>
                <w:rFonts w:ascii="Arial" w:hAnsi="Arial" w:cs="Arial"/>
                <w:b/>
                <w:i/>
                <w:sz w:val="20"/>
                <w:szCs w:val="20"/>
                <w:highlight w:val="lightGray"/>
              </w:rPr>
              <w:t>Bestätigungen</w:t>
            </w:r>
          </w:p>
        </w:tc>
      </w:tr>
      <w:tr w:rsidR="00636495" w:rsidRPr="00CE3194" w14:paraId="41684AAF" w14:textId="77777777" w:rsidTr="009E4FE7">
        <w:tc>
          <w:tcPr>
            <w:tcW w:w="1668" w:type="dxa"/>
          </w:tcPr>
          <w:p w14:paraId="44BD66DF"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t>Starke Kundenauthentifizierung</w:t>
            </w:r>
          </w:p>
          <w:p w14:paraId="31206429" w14:textId="77777777" w:rsidR="00F27D7D" w:rsidRDefault="00F27D7D" w:rsidP="00FC0BF3">
            <w:pPr>
              <w:jc w:val="both"/>
              <w:rPr>
                <w:rFonts w:ascii="Arial" w:hAnsi="Arial" w:cs="Arial"/>
                <w:i/>
                <w:sz w:val="20"/>
                <w:szCs w:val="20"/>
                <w:highlight w:val="lightGray"/>
              </w:rPr>
            </w:pPr>
          </w:p>
          <w:p w14:paraId="7791F3B1" w14:textId="7E2FB760" w:rsidR="00F27D7D" w:rsidRPr="00C1386F" w:rsidRDefault="00F27D7D" w:rsidP="00C1386F">
            <w:pPr>
              <w:jc w:val="both"/>
              <w:rPr>
                <w:rFonts w:ascii="Arial" w:hAnsi="Arial" w:cs="Arial"/>
                <w:i/>
                <w:sz w:val="20"/>
                <w:szCs w:val="20"/>
                <w:highlight w:val="lightGray"/>
              </w:rPr>
            </w:pPr>
            <w:r w:rsidRPr="00B037A6">
              <w:rPr>
                <w:rFonts w:ascii="Arial" w:hAnsi="Arial" w:cs="Arial"/>
                <w:i/>
                <w:sz w:val="16"/>
                <w:szCs w:val="16"/>
                <w:highlight w:val="lightGray"/>
              </w:rPr>
              <w:t xml:space="preserve">Art. 103 ZDG, </w:t>
            </w:r>
            <w:r w:rsidR="00D55E70">
              <w:rPr>
                <w:rFonts w:ascii="Arial" w:hAnsi="Arial" w:cs="Arial"/>
                <w:i/>
                <w:sz w:val="16"/>
                <w:szCs w:val="16"/>
                <w:highlight w:val="lightGray"/>
              </w:rPr>
              <w:t>DelVO</w:t>
            </w:r>
            <w:r w:rsidRPr="00B037A6">
              <w:rPr>
                <w:rFonts w:ascii="Arial" w:hAnsi="Arial" w:cs="Arial"/>
                <w:i/>
                <w:sz w:val="16"/>
                <w:szCs w:val="16"/>
                <w:highlight w:val="lightGray"/>
              </w:rPr>
              <w:t xml:space="preserve"> (EU) Nr. </w:t>
            </w:r>
            <w:r>
              <w:rPr>
                <w:rFonts w:ascii="Arial" w:hAnsi="Arial" w:cs="Arial"/>
                <w:i/>
                <w:sz w:val="16"/>
                <w:szCs w:val="16"/>
                <w:highlight w:val="lightGray"/>
              </w:rPr>
              <w:t xml:space="preserve">2018/389, </w:t>
            </w:r>
          </w:p>
        </w:tc>
        <w:tc>
          <w:tcPr>
            <w:tcW w:w="4677" w:type="dxa"/>
          </w:tcPr>
          <w:p w14:paraId="353EBA79"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Verantwortlichkeiten und Kompetenzen sind klar geregelt</w:t>
            </w:r>
          </w:p>
          <w:p w14:paraId="42848076"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und Zuverlässigkeit der Mitarbeiter sicher</w:t>
            </w:r>
          </w:p>
          <w:p w14:paraId="7040F3CC"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w:t>
            </w:r>
            <w:r w:rsidRPr="00983993">
              <w:rPr>
                <w:rFonts w:cs="Arial"/>
                <w:i/>
                <w:szCs w:val="20"/>
                <w:highlight w:val="lightGray"/>
              </w:rPr>
              <w:t xml:space="preserve">ie internen Verfahren </w:t>
            </w:r>
            <w:r>
              <w:rPr>
                <w:rFonts w:cs="Arial"/>
                <w:i/>
                <w:szCs w:val="20"/>
                <w:highlight w:val="lightGray"/>
              </w:rPr>
              <w:t>stellen sicher, dass Sicherheitsmassnahmen für die Durchführung starker Kundenauthentifizierungen gemäss den regulatorischen Vorgaben (DelVO (EU) Nr. 2018/389 Art. 4 ff) verlangt und implementiert werden (zwei Elemente der Kategorien Wissen, Besitz und Inhärenz)</w:t>
            </w:r>
          </w:p>
          <w:p w14:paraId="06D5DD83"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das regelmässige Testen dieser Sicherheitsmassnahmen und die Dokumentation der Ergebnisse sicher</w:t>
            </w:r>
          </w:p>
          <w:p w14:paraId="559F9C91"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die fachliche Eignung (Fachwissen IT-Sicherheit, Zahlungsverkehr) und Unabhängigkeit jener Personen sicher, welche die Tests der Sicherheitsmassnahmen durchführen.</w:t>
            </w:r>
          </w:p>
          <w:p w14:paraId="6746466F"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Kundenauthentifizierung ausreichend „stark“ ist</w:t>
            </w:r>
          </w:p>
          <w:p w14:paraId="0E08EF69"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bei der Anwendung von Ausnahmen (</w:t>
            </w:r>
            <w:r w:rsidRPr="00A1206C">
              <w:rPr>
                <w:rFonts w:cs="Arial"/>
                <w:i/>
                <w:szCs w:val="20"/>
                <w:highlight w:val="lightGray"/>
              </w:rPr>
              <w:t>DelVO (EU) Nr. 2018/389, Art. 10) sicher, dass die Daten für jede Zahlungsart aufgeschlüsselt nach Fernzahlungsvorgängen und Nicht-Fernzahlungsvorgängen gemäss den regulatorischen Vorgaben angemessen überwacht, ausgewertet und dokumentiert werden</w:t>
            </w:r>
          </w:p>
          <w:p w14:paraId="07D555E1"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internen Verfahren stellen sicher, dass die Vertraulichkeit und Integrität der personalisierten Sicherheitsmerkmale der Zahlungsdienstnutzer, einschliesslich Authentifizierungscodes, in jeder Phase der Authentifizierung geschützt werden</w:t>
            </w:r>
          </w:p>
          <w:p w14:paraId="1E4C5E33"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einer Fehlleitung der Kommunikation an Unbefugte wirksam eingedämmt wird</w:t>
            </w:r>
          </w:p>
          <w:p w14:paraId="72C68C9C"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sämtliche Zahlungsvorgänge und Interaktionen zwischen mehreren Parteien (z.B. Zahlungsdienstnutzer, Zahlungsdienstleister, Händler etc.) verlässlich zurückverfolgt werden (u.a. durch Erfassung des Zeitstempels, Sicherheitsmassnahmen für die ausführliche Protokollierung der Transaktion, eindeutige Kennung der Sitzung)</w:t>
            </w:r>
          </w:p>
        </w:tc>
        <w:tc>
          <w:tcPr>
            <w:tcW w:w="3395" w:type="dxa"/>
          </w:tcPr>
          <w:p w14:paraId="460D44D1"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sicherstellen, dass</w:t>
            </w:r>
            <w:r>
              <w:rPr>
                <w:rFonts w:cs="Arial"/>
                <w:i/>
                <w:szCs w:val="20"/>
                <w:highlight w:val="lightGray"/>
              </w:rPr>
              <w:t xml:space="preserve"> Sicherheitsmassnahmen für die Durchführung</w:t>
            </w:r>
            <w:r w:rsidRPr="00F0453E">
              <w:rPr>
                <w:rFonts w:cs="Arial"/>
                <w:i/>
                <w:szCs w:val="20"/>
                <w:highlight w:val="lightGray"/>
              </w:rPr>
              <w:t xml:space="preserve"> starke</w:t>
            </w:r>
            <w:r>
              <w:rPr>
                <w:rFonts w:cs="Arial"/>
                <w:i/>
                <w:szCs w:val="20"/>
                <w:highlight w:val="lightGray"/>
              </w:rPr>
              <w:t>r</w:t>
            </w:r>
            <w:r w:rsidRPr="00F0453E">
              <w:rPr>
                <w:rFonts w:cs="Arial"/>
                <w:i/>
                <w:szCs w:val="20"/>
                <w:highlight w:val="lightGray"/>
              </w:rPr>
              <w:t xml:space="preserve"> Kundenauthentifizierungen gemäss den regulatorischen Vorgaben</w:t>
            </w:r>
            <w:r>
              <w:rPr>
                <w:rFonts w:cs="Arial"/>
                <w:i/>
                <w:szCs w:val="20"/>
                <w:highlight w:val="lightGray"/>
              </w:rPr>
              <w:t xml:space="preserve"> (DelVO (EU) Nr. 2018/389 Art. 4 ff) gefordert und</w:t>
            </w:r>
            <w:r w:rsidRPr="00F0453E">
              <w:rPr>
                <w:rFonts w:cs="Arial"/>
                <w:i/>
                <w:szCs w:val="20"/>
                <w:highlight w:val="lightGray"/>
              </w:rPr>
              <w:t xml:space="preserve"> implementiert und werden.</w:t>
            </w:r>
          </w:p>
          <w:p w14:paraId="0615E16B"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das regelmässige Testen der Sicherheitsmassnahmen für die Durchführung einer starken Kundenauthentifizierung durch fachkundige unabhängige Experten sicherstellen.</w:t>
            </w:r>
          </w:p>
          <w:p w14:paraId="10757108"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Ergebnisse der durchgeführten Tests der Sicherheitsmassnahmen angemessen dokumentiert werden</w:t>
            </w:r>
          </w:p>
          <w:p w14:paraId="047E0B5D"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Bestätigung, dass die internen Verfahren sicherstellen, dass die Kundenauthentifizierung ausreichend „stark“ ist</w:t>
            </w:r>
          </w:p>
          <w:p w14:paraId="72869EE3"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 xml:space="preserve">Bestätigung, dass die internen Verfahren bei Ausnahmen von der starken Kundenauthentifizierung die Überwachung der </w:t>
            </w:r>
            <w:r w:rsidRPr="00F0453E">
              <w:rPr>
                <w:rFonts w:cs="Arial"/>
                <w:i/>
                <w:szCs w:val="20"/>
                <w:highlight w:val="lightGray"/>
              </w:rPr>
              <w:lastRenderedPageBreak/>
              <w:t xml:space="preserve">Ausnahmen nach </w:t>
            </w:r>
            <w:r>
              <w:rPr>
                <w:rFonts w:cs="Arial"/>
                <w:i/>
                <w:szCs w:val="20"/>
                <w:highlight w:val="lightGray"/>
              </w:rPr>
              <w:t>DelVO (EU) Nr. 2018/389 Art. 21</w:t>
            </w:r>
            <w:r w:rsidRPr="00F0453E">
              <w:rPr>
                <w:rFonts w:cs="Arial"/>
                <w:i/>
                <w:szCs w:val="20"/>
                <w:highlight w:val="lightGray"/>
              </w:rPr>
              <w:t xml:space="preserve"> sicherstellen und dokumentieren</w:t>
            </w:r>
          </w:p>
          <w:p w14:paraId="318A5BD5"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Vertraulichkeit und Integrität der personalisierten Sicherheitsmerkmale der Zahlungsdienstnutzer geschützt werden.</w:t>
            </w:r>
          </w:p>
          <w:p w14:paraId="23F1CD7A" w14:textId="77777777" w:rsidR="00636495"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Risiken einer Fehlleitung der Kommunikation an Unbefugte wirksam eindämmen.</w:t>
            </w:r>
          </w:p>
          <w:p w14:paraId="0E6485A9"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die Rückverfolgbarkeit sämtlicher Interaktionen und Zahlungsvorgängen gewährleistet ist</w:t>
            </w:r>
          </w:p>
        </w:tc>
      </w:tr>
      <w:tr w:rsidR="00636495" w:rsidRPr="00CE3194" w14:paraId="1380E2C4" w14:textId="77777777" w:rsidTr="009E4FE7">
        <w:tc>
          <w:tcPr>
            <w:tcW w:w="1668" w:type="dxa"/>
          </w:tcPr>
          <w:p w14:paraId="755F41A2" w14:textId="77777777" w:rsidR="00636495" w:rsidRDefault="00636495" w:rsidP="00FC0BF3">
            <w:pPr>
              <w:jc w:val="both"/>
              <w:rPr>
                <w:rFonts w:ascii="Arial" w:hAnsi="Arial" w:cs="Arial"/>
                <w:i/>
                <w:sz w:val="20"/>
                <w:szCs w:val="20"/>
                <w:highlight w:val="lightGray"/>
              </w:rPr>
            </w:pPr>
            <w:r>
              <w:rPr>
                <w:rFonts w:ascii="Arial" w:hAnsi="Arial" w:cs="Arial"/>
                <w:i/>
                <w:sz w:val="20"/>
                <w:szCs w:val="20"/>
                <w:highlight w:val="lightGray"/>
              </w:rPr>
              <w:lastRenderedPageBreak/>
              <w:t>Zugangsschnittstellen und dedizierte Schnittstellen</w:t>
            </w:r>
          </w:p>
          <w:p w14:paraId="6265D212" w14:textId="77777777" w:rsidR="00F27D7D" w:rsidRDefault="00F27D7D" w:rsidP="00FC0BF3">
            <w:pPr>
              <w:jc w:val="both"/>
              <w:rPr>
                <w:rFonts w:ascii="Arial" w:hAnsi="Arial" w:cs="Arial"/>
                <w:i/>
                <w:sz w:val="20"/>
                <w:szCs w:val="20"/>
                <w:highlight w:val="lightGray"/>
              </w:rPr>
            </w:pPr>
          </w:p>
          <w:p w14:paraId="5905EE72" w14:textId="11ADA978" w:rsidR="00F27D7D" w:rsidRDefault="00F27D7D" w:rsidP="00C1386F">
            <w:pPr>
              <w:jc w:val="both"/>
              <w:rPr>
                <w:rFonts w:ascii="Arial" w:hAnsi="Arial" w:cs="Arial"/>
                <w:i/>
                <w:sz w:val="20"/>
                <w:szCs w:val="20"/>
                <w:highlight w:val="lightGray"/>
              </w:rPr>
            </w:pPr>
            <w:r w:rsidRPr="00BE2606">
              <w:rPr>
                <w:rFonts w:ascii="Arial" w:hAnsi="Arial" w:cs="Arial"/>
                <w:i/>
                <w:sz w:val="16"/>
                <w:szCs w:val="16"/>
                <w:highlight w:val="lightGray"/>
              </w:rPr>
              <w:t xml:space="preserve">Art. 103 ZDG, </w:t>
            </w:r>
            <w:r w:rsidR="00D55E70">
              <w:rPr>
                <w:rFonts w:ascii="Arial" w:hAnsi="Arial" w:cs="Arial"/>
                <w:i/>
                <w:sz w:val="16"/>
                <w:szCs w:val="16"/>
                <w:highlight w:val="lightGray"/>
              </w:rPr>
              <w:t>DelVO</w:t>
            </w:r>
            <w:r w:rsidRPr="00BE2606">
              <w:rPr>
                <w:rFonts w:ascii="Arial" w:hAnsi="Arial" w:cs="Arial"/>
                <w:i/>
                <w:sz w:val="16"/>
                <w:szCs w:val="16"/>
                <w:highlight w:val="lightGray"/>
              </w:rPr>
              <w:t xml:space="preserve"> (EU) Nr. </w:t>
            </w:r>
            <w:r>
              <w:rPr>
                <w:rFonts w:ascii="Arial" w:hAnsi="Arial" w:cs="Arial"/>
                <w:i/>
                <w:sz w:val="16"/>
                <w:szCs w:val="16"/>
                <w:highlight w:val="lightGray"/>
              </w:rPr>
              <w:t>2018/389,</w:t>
            </w:r>
          </w:p>
        </w:tc>
        <w:tc>
          <w:tcPr>
            <w:tcW w:w="4677" w:type="dxa"/>
          </w:tcPr>
          <w:p w14:paraId="53996135"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Zugangsschnittstellen zwischen dem Kontoinformationsdienstleister, Zahlungsauslösedienstleister und kontoführender Zahlungsdienstleister</w:t>
            </w:r>
          </w:p>
          <w:p w14:paraId="3E330745"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Schnittstellen die von internationalen oder europäischen Standardisierungsorganisationen ausgegebenen Kommunikationsstandards erfüllen. </w:t>
            </w:r>
          </w:p>
          <w:p w14:paraId="46AAB3D0"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technische Spezifikation einer jeden Schnittstelle angemessen dokumentiert ist. </w:t>
            </w:r>
          </w:p>
          <w:p w14:paraId="1DC112EC" w14:textId="75F3F7C8"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regulatorischen Anforderungen an eine dedizierte Schnittstelle (Verfügbarkeit, Leistung.) eingehalten und laufend überwacht werden </w:t>
            </w:r>
          </w:p>
          <w:p w14:paraId="12FFB1D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für die dedizierte Schnittstelle transparente wesentliche Leistungsindikatoren und Service-Level-Ziele definiert werden, </w:t>
            </w:r>
          </w:p>
          <w:p w14:paraId="7656513B"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dedizierte Schnittstelle anhand der Leistungsindikatoren und der Service-Level-Ziele  regelmässig überwacht und Stresstests unterzogen werden</w:t>
            </w:r>
          </w:p>
          <w:p w14:paraId="68773340"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vierteljährliche Statistiken über die Verfügbarkeit und die Leistung der dedizierten Schnittstelle auf der Homepage veröffentlicht werden</w:t>
            </w:r>
          </w:p>
          <w:p w14:paraId="3FF610F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angemessene Notfallmassnahmen (inkl. Kommunikationspläne, Beschreibung der sofort verfügbaren alternativen Optionen) für eine unvorhergesehene Nichtverfügbarkeit der Schnittstelle, </w:t>
            </w:r>
            <w:r>
              <w:rPr>
                <w:rFonts w:cs="Arial"/>
                <w:i/>
                <w:szCs w:val="20"/>
                <w:highlight w:val="lightGray"/>
              </w:rPr>
              <w:lastRenderedPageBreak/>
              <w:t>Systemausfall oder mangelnde Leistungsfähigkeit der dedizierten Schnittstelle bestehen</w:t>
            </w:r>
          </w:p>
          <w:p w14:paraId="5DF5B117" w14:textId="77777777" w:rsidR="00636495" w:rsidRDefault="00636495" w:rsidP="00FC0BF3">
            <w:pPr>
              <w:pStyle w:val="Listenabsatz"/>
              <w:numPr>
                <w:ilvl w:val="1"/>
                <w:numId w:val="17"/>
              </w:numPr>
              <w:ind w:left="317" w:hanging="283"/>
              <w:jc w:val="both"/>
              <w:rPr>
                <w:rFonts w:cs="Arial"/>
                <w:i/>
                <w:szCs w:val="20"/>
                <w:highlight w:val="lightGray"/>
              </w:rPr>
            </w:pPr>
            <w:r>
              <w:rPr>
                <w:rFonts w:cs="Arial"/>
                <w:i/>
                <w:szCs w:val="20"/>
                <w:highlight w:val="lightGray"/>
              </w:rPr>
              <w:t>Die internen Verfahren gewährleisten, dass Probleme mit den dedizierten Schnittstellen unverzüglich der FMA gemeldet werden</w:t>
            </w:r>
          </w:p>
        </w:tc>
        <w:tc>
          <w:tcPr>
            <w:tcW w:w="3395" w:type="dxa"/>
          </w:tcPr>
          <w:p w14:paraId="3597A5A2"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die Einhaltung der allgemeinen regulatorischen Anforderung an Zugangsschnittstellen sicherstellen</w:t>
            </w:r>
          </w:p>
          <w:p w14:paraId="15BA0F5F"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Einhaltung und laufende Überwachung der regulatorischen Anforderungen an eine dedizierte Schnittstelle (Verfügbarkeit, Leistung) anhand von transparenten wesentlichen Leistungsindikatoren, Service-Level-Zielen und der Durchführung von Stresstests sicherstellen</w:t>
            </w:r>
          </w:p>
          <w:p w14:paraId="1DEC68FC"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die vierteljährliche Veröffentlichung der Statistiken über die Verfügbarkeit und Leistung der dedizierten Schnittstelle auf der Homepage sicherstellen</w:t>
            </w:r>
          </w:p>
          <w:p w14:paraId="11844B3D" w14:textId="77777777" w:rsidR="00636495" w:rsidRPr="00F0453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t>Bestätigung, dass die internen Verfahren sicherstellen, dass angemessene Notfallmassnahmen (inkl. Kommunikationspläne, Beschreibung der sofort verfügbaren alternativen Optionen) für eine unvorhergesehene Nichtverfügbarkeit der Schnittstelle, Systemausfall oder mangelnde Leistungsfähigkeit der dedizierten Schnittstelle bestehen</w:t>
            </w:r>
          </w:p>
          <w:p w14:paraId="1B4725C6" w14:textId="77777777" w:rsidR="00636495" w:rsidRPr="003E54AE" w:rsidRDefault="00636495" w:rsidP="00FC0BF3">
            <w:pPr>
              <w:pStyle w:val="Listenabsatz"/>
              <w:numPr>
                <w:ilvl w:val="1"/>
                <w:numId w:val="17"/>
              </w:numPr>
              <w:ind w:left="317" w:hanging="283"/>
              <w:jc w:val="both"/>
              <w:rPr>
                <w:rFonts w:cs="Arial"/>
                <w:i/>
                <w:szCs w:val="20"/>
                <w:highlight w:val="lightGray"/>
              </w:rPr>
            </w:pPr>
            <w:r w:rsidRPr="00F0453E">
              <w:rPr>
                <w:rFonts w:cs="Arial"/>
                <w:i/>
                <w:szCs w:val="20"/>
                <w:highlight w:val="lightGray"/>
              </w:rPr>
              <w:lastRenderedPageBreak/>
              <w:t>Bestätigung, dass die internen Verfahren gewährleisten, dass Probleme mit den dedizierten Schnittstellen unverzüglich der FMA gemeldet werden</w:t>
            </w:r>
          </w:p>
        </w:tc>
      </w:tr>
    </w:tbl>
    <w:p w14:paraId="528837C4" w14:textId="77777777" w:rsidR="00636495" w:rsidRDefault="00636495" w:rsidP="00636495">
      <w:pPr>
        <w:jc w:val="both"/>
      </w:pPr>
    </w:p>
    <w:p w14:paraId="28434F50" w14:textId="77777777" w:rsidR="00636495" w:rsidRDefault="00636495" w:rsidP="00636495">
      <w:pPr>
        <w:jc w:val="both"/>
        <w:rPr>
          <w:rFonts w:cs="Arial"/>
          <w:szCs w:val="20"/>
        </w:rPr>
      </w:pPr>
    </w:p>
    <w:p w14:paraId="39466902" w14:textId="77777777" w:rsidR="00636495" w:rsidRDefault="00636495" w:rsidP="00636495">
      <w:pPr>
        <w:jc w:val="both"/>
        <w:rPr>
          <w:rFonts w:ascii="Arial" w:hAnsi="Arial" w:cs="Arial"/>
          <w:i/>
          <w:sz w:val="20"/>
          <w:szCs w:val="20"/>
        </w:rPr>
      </w:pPr>
      <w:r w:rsidRPr="00276C60">
        <w:rPr>
          <w:rFonts w:ascii="Arial" w:hAnsi="Arial" w:cs="Arial"/>
          <w:i/>
          <w:sz w:val="20"/>
          <w:szCs w:val="20"/>
          <w:highlight w:val="yellow"/>
        </w:rPr>
        <w:t>Text</w:t>
      </w:r>
    </w:p>
    <w:p w14:paraId="5D374D5D" w14:textId="2C966901" w:rsidR="00636495" w:rsidRDefault="00636495" w:rsidP="00636495">
      <w:pPr>
        <w:jc w:val="both"/>
      </w:pPr>
    </w:p>
    <w:p w14:paraId="1644167F" w14:textId="77777777" w:rsidR="00C57CE8" w:rsidRPr="000A0D76" w:rsidRDefault="00C57CE8" w:rsidP="00C57CE8">
      <w:pPr>
        <w:pStyle w:val="FINMAGliederungEbene3"/>
      </w:pPr>
      <w:bookmarkStart w:id="82" w:name="_Toc200013061"/>
      <w:bookmarkStart w:id="83" w:name="_Toc216425824"/>
      <w:r w:rsidRPr="00EC2688">
        <w:t xml:space="preserve">Verhinderung und Überwachung von Marktmissbrauch gemäss MAR und MiCAR* </w:t>
      </w:r>
      <w:r w:rsidRPr="000A0D76">
        <w:t>(And-5)</w:t>
      </w:r>
      <w:bookmarkEnd w:id="82"/>
      <w:bookmarkEnd w:id="83"/>
    </w:p>
    <w:p w14:paraId="4D1FC0E1" w14:textId="77777777" w:rsidR="00C57CE8" w:rsidRDefault="00C57CE8" w:rsidP="00C57CE8">
      <w:pPr>
        <w:jc w:val="both"/>
      </w:pPr>
    </w:p>
    <w:tbl>
      <w:tblPr>
        <w:tblStyle w:val="Tabellenraster"/>
        <w:tblpPr w:leftFromText="141" w:rightFromText="141" w:vertAnchor="text" w:tblpY="1"/>
        <w:tblOverlap w:val="never"/>
        <w:tblW w:w="0" w:type="auto"/>
        <w:tblLook w:val="04A0" w:firstRow="1" w:lastRow="0" w:firstColumn="1" w:lastColumn="0" w:noHBand="0" w:noVBand="1"/>
      </w:tblPr>
      <w:tblGrid>
        <w:gridCol w:w="1932"/>
        <w:gridCol w:w="2145"/>
        <w:gridCol w:w="1721"/>
        <w:gridCol w:w="3382"/>
      </w:tblGrid>
      <w:tr w:rsidR="00C57CE8" w:rsidRPr="009872F3" w14:paraId="17FA9DAB" w14:textId="77777777" w:rsidTr="006236F5">
        <w:trPr>
          <w:trHeight w:val="563"/>
        </w:trPr>
        <w:tc>
          <w:tcPr>
            <w:tcW w:w="1932" w:type="dxa"/>
          </w:tcPr>
          <w:p w14:paraId="56376129" w14:textId="77777777" w:rsidR="00C57CE8" w:rsidRPr="009872F3" w:rsidRDefault="00C57CE8" w:rsidP="006236F5">
            <w:pPr>
              <w:jc w:val="both"/>
              <w:rPr>
                <w:rFonts w:ascii="Arial" w:hAnsi="Arial" w:cs="Arial"/>
                <w:sz w:val="18"/>
                <w:szCs w:val="18"/>
              </w:rPr>
            </w:pPr>
            <w:r w:rsidRPr="009872F3">
              <w:rPr>
                <w:rFonts w:ascii="Arial" w:hAnsi="Arial" w:cs="Arial"/>
                <w:sz w:val="18"/>
                <w:szCs w:val="18"/>
              </w:rPr>
              <w:t>Nettorisiko</w:t>
            </w:r>
          </w:p>
        </w:tc>
        <w:tc>
          <w:tcPr>
            <w:tcW w:w="2145" w:type="dxa"/>
          </w:tcPr>
          <w:p w14:paraId="2597518A" w14:textId="77777777" w:rsidR="00C57CE8" w:rsidRPr="009872F3" w:rsidRDefault="00C57CE8" w:rsidP="006236F5">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391FE756" w14:textId="77777777" w:rsidR="00C57CE8" w:rsidRPr="009872F3" w:rsidRDefault="00C57CE8" w:rsidP="006236F5">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C57CE8" w:rsidRPr="009872F3" w14:paraId="66832CE6" w14:textId="77777777" w:rsidTr="006236F5">
        <w:trPr>
          <w:trHeight w:val="698"/>
        </w:trPr>
        <w:tc>
          <w:tcPr>
            <w:tcW w:w="1932" w:type="dxa"/>
          </w:tcPr>
          <w:p w14:paraId="047F7148" w14:textId="77777777" w:rsidR="00C57CE8" w:rsidRPr="006749F0" w:rsidRDefault="00C57CE8" w:rsidP="006236F5">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8298790" w14:textId="77777777" w:rsidR="00C57CE8" w:rsidRPr="006749F0" w:rsidRDefault="00C57CE8" w:rsidP="006236F5">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C425FD3" w14:textId="77777777" w:rsidR="00C57CE8" w:rsidRPr="009872F3" w:rsidRDefault="00C57CE8" w:rsidP="006236F5">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9630A8C" w14:textId="77777777" w:rsidR="00C57CE8" w:rsidRDefault="00C57CE8" w:rsidP="006236F5">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6798A873" w14:textId="77777777" w:rsidR="00C57CE8" w:rsidRPr="006749F0" w:rsidRDefault="00C57CE8" w:rsidP="006236F5">
            <w:pPr>
              <w:jc w:val="both"/>
              <w:rPr>
                <w:rFonts w:ascii="Arial" w:hAnsi="Arial" w:cs="Arial"/>
                <w:i/>
                <w:sz w:val="18"/>
                <w:szCs w:val="18"/>
              </w:rPr>
            </w:pPr>
            <w:r w:rsidRPr="006749F0">
              <w:rPr>
                <w:rFonts w:ascii="Arial" w:hAnsi="Arial" w:cs="Arial"/>
                <w:i/>
                <w:sz w:val="18"/>
                <w:szCs w:val="18"/>
                <w:highlight w:val="yellow"/>
              </w:rPr>
              <w:t>Jahr</w:t>
            </w:r>
          </w:p>
        </w:tc>
      </w:tr>
      <w:tr w:rsidR="00C57CE8" w:rsidRPr="000A0D76" w14:paraId="2D35ADF7" w14:textId="77777777" w:rsidTr="006236F5">
        <w:trPr>
          <w:trHeight w:val="636"/>
        </w:trPr>
        <w:tc>
          <w:tcPr>
            <w:tcW w:w="9180" w:type="dxa"/>
            <w:gridSpan w:val="4"/>
          </w:tcPr>
          <w:p w14:paraId="515E6DB0" w14:textId="77777777" w:rsidR="00C57CE8" w:rsidRPr="000A0D76" w:rsidRDefault="00C57CE8" w:rsidP="006236F5">
            <w:pPr>
              <w:jc w:val="both"/>
              <w:rPr>
                <w:rFonts w:ascii="Arial" w:hAnsi="Arial" w:cs="Arial"/>
                <w:sz w:val="18"/>
                <w:szCs w:val="18"/>
              </w:rPr>
            </w:pPr>
          </w:p>
          <w:p w14:paraId="2EA2D5A0" w14:textId="77777777" w:rsidR="00C57CE8" w:rsidRPr="000A0D76" w:rsidRDefault="00C57CE8" w:rsidP="006236F5">
            <w:pPr>
              <w:jc w:val="both"/>
              <w:rPr>
                <w:rFonts w:ascii="Arial" w:hAnsi="Arial" w:cs="Arial"/>
                <w:sz w:val="18"/>
                <w:szCs w:val="18"/>
                <w:highlight w:val="yellow"/>
              </w:rPr>
            </w:pPr>
            <w:r w:rsidRPr="000A0D76">
              <w:rPr>
                <w:rFonts w:ascii="Arial" w:hAnsi="Arial" w:cs="Arial"/>
                <w:sz w:val="18"/>
                <w:szCs w:val="18"/>
              </w:rPr>
              <w:t xml:space="preserve">Referenzen </w:t>
            </w:r>
            <w:r w:rsidRPr="000A0D76">
              <w:rPr>
                <w:rFonts w:ascii="Arial" w:hAnsi="Arial" w:cs="Arial"/>
                <w:sz w:val="18"/>
                <w:szCs w:val="18"/>
                <w:highlight w:val="yellow"/>
              </w:rPr>
              <w:t xml:space="preserve">(demonstrativ; nicht abschliessend): </w:t>
            </w:r>
          </w:p>
          <w:p w14:paraId="37EA290D" w14:textId="77777777" w:rsidR="00C57CE8" w:rsidRPr="000A0D76" w:rsidRDefault="00C57CE8" w:rsidP="006236F5">
            <w:pPr>
              <w:jc w:val="both"/>
              <w:rPr>
                <w:rFonts w:ascii="Arial" w:hAnsi="Arial" w:cs="Arial"/>
                <w:sz w:val="18"/>
                <w:szCs w:val="18"/>
              </w:rPr>
            </w:pPr>
            <w:r w:rsidRPr="00EC2688">
              <w:rPr>
                <w:rFonts w:ascii="Arial" w:hAnsi="Arial" w:cs="Arial"/>
                <w:sz w:val="18"/>
                <w:szCs w:val="18"/>
                <w:highlight w:val="yellow"/>
              </w:rPr>
              <w:t>Art. 16 VO (EU) Nr. 596/2014; DelVO (EU) 2016/957; DeVO (EU) 2016/522; Art. 92 VO (EU) 2023/1114</w:t>
            </w:r>
          </w:p>
        </w:tc>
      </w:tr>
      <w:tr w:rsidR="00C57CE8" w:rsidRPr="000A0D76" w14:paraId="16506C30" w14:textId="77777777" w:rsidTr="006236F5">
        <w:trPr>
          <w:trHeight w:val="294"/>
        </w:trPr>
        <w:tc>
          <w:tcPr>
            <w:tcW w:w="9180" w:type="dxa"/>
            <w:gridSpan w:val="4"/>
          </w:tcPr>
          <w:p w14:paraId="7F5FB930" w14:textId="77777777" w:rsidR="00C57CE8" w:rsidRPr="000A0D76" w:rsidRDefault="00C57CE8" w:rsidP="006236F5">
            <w:pPr>
              <w:jc w:val="both"/>
              <w:rPr>
                <w:rFonts w:ascii="Arial" w:hAnsi="Arial" w:cs="Arial"/>
                <w:sz w:val="18"/>
                <w:szCs w:val="18"/>
              </w:rPr>
            </w:pPr>
          </w:p>
        </w:tc>
      </w:tr>
      <w:tr w:rsidR="00C57CE8" w:rsidRPr="000A0D76" w14:paraId="4170F5B3" w14:textId="77777777" w:rsidTr="006236F5">
        <w:tc>
          <w:tcPr>
            <w:tcW w:w="5798" w:type="dxa"/>
            <w:gridSpan w:val="3"/>
          </w:tcPr>
          <w:p w14:paraId="265329C2" w14:textId="77777777" w:rsidR="00C57CE8" w:rsidRPr="006236F5" w:rsidRDefault="00C57CE8" w:rsidP="006236F5">
            <w:pPr>
              <w:jc w:val="both"/>
              <w:rPr>
                <w:rFonts w:ascii="Arial" w:hAnsi="Arial" w:cs="Arial"/>
                <w:sz w:val="18"/>
                <w:szCs w:val="18"/>
              </w:rPr>
            </w:pPr>
            <w:r w:rsidRPr="00EC2688">
              <w:rPr>
                <w:rFonts w:ascii="Arial" w:hAnsi="Arial" w:cs="Arial"/>
                <w:sz w:val="18"/>
                <w:szCs w:val="18"/>
              </w:rPr>
              <w:t xml:space="preserve">Bestätigung, dass die internen Regelungen, Systeme und Verfahren die </w:t>
            </w:r>
            <w:r w:rsidRPr="00E6794A">
              <w:rPr>
                <w:rFonts w:ascii="Arial" w:hAnsi="Arial" w:cs="Arial"/>
                <w:sz w:val="18"/>
                <w:szCs w:val="18"/>
              </w:rPr>
              <w:t>wirksame und fortlaufende Überwachung</w:t>
            </w:r>
            <w:r>
              <w:rPr>
                <w:rFonts w:ascii="Arial" w:hAnsi="Arial" w:cs="Arial"/>
                <w:sz w:val="18"/>
                <w:szCs w:val="18"/>
              </w:rPr>
              <w:t xml:space="preserve"> aller</w:t>
            </w:r>
            <w:r w:rsidRPr="00EC2688">
              <w:rPr>
                <w:rFonts w:ascii="Arial" w:hAnsi="Arial" w:cs="Arial"/>
                <w:sz w:val="18"/>
                <w:szCs w:val="18"/>
              </w:rPr>
              <w:t xml:space="preserve"> </w:t>
            </w:r>
            <w:r w:rsidRPr="00E6794A">
              <w:rPr>
                <w:rFonts w:ascii="Arial" w:hAnsi="Arial" w:cs="Arial"/>
                <w:sz w:val="18"/>
                <w:szCs w:val="18"/>
              </w:rPr>
              <w:t xml:space="preserve">eingegangenen und übermittelten </w:t>
            </w:r>
            <w:r w:rsidRPr="00EC2688">
              <w:rPr>
                <w:rFonts w:ascii="Arial" w:hAnsi="Arial" w:cs="Arial"/>
                <w:sz w:val="18"/>
                <w:szCs w:val="18"/>
              </w:rPr>
              <w:t xml:space="preserve">Aufträge und </w:t>
            </w:r>
            <w:r>
              <w:rPr>
                <w:rFonts w:ascii="Arial" w:hAnsi="Arial" w:cs="Arial"/>
                <w:sz w:val="18"/>
                <w:szCs w:val="18"/>
              </w:rPr>
              <w:t xml:space="preserve">alle </w:t>
            </w:r>
            <w:r w:rsidRPr="000F265D">
              <w:rPr>
                <w:rFonts w:ascii="Arial" w:hAnsi="Arial" w:cs="Arial"/>
                <w:sz w:val="18"/>
                <w:szCs w:val="18"/>
              </w:rPr>
              <w:t>ausgeführten </w:t>
            </w:r>
            <w:r w:rsidRPr="00EC2688">
              <w:rPr>
                <w:rFonts w:ascii="Arial" w:hAnsi="Arial" w:cs="Arial"/>
                <w:sz w:val="18"/>
                <w:szCs w:val="18"/>
              </w:rPr>
              <w:t>Geschäfte, die Insidergeschäfte, Marktmanipulation oder versuchte Insidergeschäfte bzw. versuchte Marktmanipulation darstellen könnten,</w:t>
            </w:r>
            <w:r>
              <w:rPr>
                <w:rFonts w:ascii="Arial" w:hAnsi="Arial" w:cs="Arial"/>
                <w:sz w:val="18"/>
                <w:szCs w:val="18"/>
              </w:rPr>
              <w:t xml:space="preserve"> </w:t>
            </w:r>
            <w:r w:rsidRPr="00EC2688">
              <w:rPr>
                <w:rFonts w:ascii="Arial" w:hAnsi="Arial" w:cs="Arial"/>
                <w:sz w:val="18"/>
                <w:szCs w:val="18"/>
              </w:rPr>
              <w:t>sicherstellen</w:t>
            </w:r>
            <w:r>
              <w:rPr>
                <w:rFonts w:ascii="Arial" w:hAnsi="Arial" w:cs="Arial"/>
                <w:sz w:val="18"/>
                <w:szCs w:val="18"/>
              </w:rPr>
              <w:t>.</w:t>
            </w:r>
          </w:p>
        </w:tc>
        <w:tc>
          <w:tcPr>
            <w:tcW w:w="3382" w:type="dxa"/>
          </w:tcPr>
          <w:p w14:paraId="5F75B36B" w14:textId="77777777" w:rsidR="00C57CE8" w:rsidRPr="000A0D76" w:rsidRDefault="00C57CE8" w:rsidP="006236F5">
            <w:pPr>
              <w:jc w:val="both"/>
              <w:rPr>
                <w:rFonts w:ascii="Arial" w:hAnsi="Arial" w:cs="Arial"/>
                <w:i/>
                <w:sz w:val="18"/>
                <w:szCs w:val="18"/>
              </w:rPr>
            </w:pPr>
            <w:r w:rsidRPr="000A0D76">
              <w:rPr>
                <w:rFonts w:ascii="Arial" w:hAnsi="Arial" w:cs="Arial"/>
                <w:i/>
                <w:sz w:val="18"/>
                <w:szCs w:val="18"/>
                <w:highlight w:val="yellow"/>
              </w:rPr>
              <w:t>Ja (Detailprüfung / Kritische Beurteilung) / Nein</w:t>
            </w:r>
          </w:p>
        </w:tc>
      </w:tr>
      <w:tr w:rsidR="00C57CE8" w:rsidRPr="000A0D76" w14:paraId="0CAC1C9A" w14:textId="77777777" w:rsidTr="006236F5">
        <w:tc>
          <w:tcPr>
            <w:tcW w:w="5798" w:type="dxa"/>
            <w:gridSpan w:val="3"/>
          </w:tcPr>
          <w:p w14:paraId="258EA819" w14:textId="77777777" w:rsidR="00C57CE8" w:rsidRPr="00BD6949" w:rsidRDefault="00C57CE8" w:rsidP="006236F5">
            <w:pPr>
              <w:jc w:val="both"/>
              <w:rPr>
                <w:rFonts w:ascii="Arial" w:hAnsi="Arial" w:cs="Arial"/>
                <w:sz w:val="18"/>
                <w:szCs w:val="18"/>
              </w:rPr>
            </w:pPr>
            <w:r>
              <w:rPr>
                <w:rFonts w:ascii="Arial" w:hAnsi="Arial" w:cs="Arial"/>
                <w:sz w:val="18"/>
                <w:szCs w:val="18"/>
              </w:rPr>
              <w:t xml:space="preserve">Bestätigung, dass </w:t>
            </w:r>
            <w:r w:rsidRPr="00BD6949">
              <w:rPr>
                <w:rFonts w:ascii="Arial" w:hAnsi="Arial" w:cs="Arial"/>
                <w:sz w:val="18"/>
                <w:szCs w:val="18"/>
              </w:rPr>
              <w:t>die Regelungen, Systeme und Verfahren geeignet sind und in einem angemessenen Verhältnis zu Umfang, Grö</w:t>
            </w:r>
            <w:r>
              <w:rPr>
                <w:rFonts w:ascii="Arial" w:hAnsi="Arial" w:cs="Arial"/>
                <w:sz w:val="18"/>
                <w:szCs w:val="18"/>
              </w:rPr>
              <w:t>ss</w:t>
            </w:r>
            <w:r w:rsidRPr="00BD6949">
              <w:rPr>
                <w:rFonts w:ascii="Arial" w:hAnsi="Arial" w:cs="Arial"/>
                <w:sz w:val="18"/>
                <w:szCs w:val="18"/>
              </w:rPr>
              <w:t>e und Art ihrer Geschäftstätigkeit</w:t>
            </w:r>
            <w:r>
              <w:rPr>
                <w:rFonts w:ascii="Arial" w:hAnsi="Arial" w:cs="Arial"/>
                <w:sz w:val="18"/>
                <w:szCs w:val="18"/>
              </w:rPr>
              <w:t xml:space="preserve"> stehen, dass diese </w:t>
            </w:r>
            <w:r w:rsidRPr="00BD6949">
              <w:rPr>
                <w:rFonts w:ascii="Arial" w:hAnsi="Arial" w:cs="Arial"/>
                <w:sz w:val="18"/>
                <w:szCs w:val="18"/>
              </w:rPr>
              <w:t>regelmä</w:t>
            </w:r>
            <w:r>
              <w:rPr>
                <w:rFonts w:ascii="Arial" w:hAnsi="Arial" w:cs="Arial"/>
                <w:sz w:val="18"/>
                <w:szCs w:val="18"/>
              </w:rPr>
              <w:t>ss</w:t>
            </w:r>
            <w:r w:rsidRPr="00BD6949">
              <w:rPr>
                <w:rFonts w:ascii="Arial" w:hAnsi="Arial" w:cs="Arial"/>
                <w:sz w:val="18"/>
                <w:szCs w:val="18"/>
              </w:rPr>
              <w:t xml:space="preserve">ig </w:t>
            </w:r>
            <w:r w:rsidRPr="00BB36AC">
              <w:rPr>
                <w:rFonts w:ascii="Arial" w:hAnsi="Arial" w:cs="Arial"/>
                <w:sz w:val="18"/>
                <w:szCs w:val="18"/>
              </w:rPr>
              <w:t xml:space="preserve">bewertet werden, zumindest durch jährliche Audits und interne Überprüfungen, und </w:t>
            </w:r>
            <w:r w:rsidRPr="00BD6949">
              <w:rPr>
                <w:rFonts w:ascii="Arial" w:hAnsi="Arial" w:cs="Arial"/>
                <w:sz w:val="18"/>
                <w:szCs w:val="18"/>
              </w:rPr>
              <w:t xml:space="preserve">gegebenenfalls </w:t>
            </w:r>
            <w:r>
              <w:rPr>
                <w:rFonts w:ascii="Arial" w:hAnsi="Arial" w:cs="Arial"/>
                <w:sz w:val="18"/>
                <w:szCs w:val="18"/>
              </w:rPr>
              <w:t xml:space="preserve">aktualisiert werden sowie dass diese Bewertungen </w:t>
            </w:r>
            <w:r w:rsidRPr="00BD6949">
              <w:rPr>
                <w:rFonts w:ascii="Arial" w:hAnsi="Arial" w:cs="Arial"/>
                <w:sz w:val="18"/>
                <w:szCs w:val="18"/>
              </w:rPr>
              <w:t>schriftlich dokumentiert sind</w:t>
            </w:r>
            <w:r>
              <w:rPr>
                <w:rFonts w:ascii="Arial" w:hAnsi="Arial" w:cs="Arial"/>
                <w:sz w:val="18"/>
                <w:szCs w:val="18"/>
              </w:rPr>
              <w:t xml:space="preserve"> und </w:t>
            </w:r>
            <w:r w:rsidRPr="00BD6949">
              <w:rPr>
                <w:rFonts w:ascii="Arial" w:hAnsi="Arial" w:cs="Arial"/>
                <w:sz w:val="18"/>
                <w:szCs w:val="18"/>
              </w:rPr>
              <w:t>die dokumentierten Informationen für einen Zeitraum von fünf Jahren aufbewahrt werden.</w:t>
            </w:r>
          </w:p>
        </w:tc>
        <w:tc>
          <w:tcPr>
            <w:tcW w:w="3382" w:type="dxa"/>
          </w:tcPr>
          <w:p w14:paraId="6CD39947" w14:textId="77777777" w:rsidR="00C57CE8" w:rsidRPr="000A0D76" w:rsidRDefault="00C57CE8" w:rsidP="006236F5">
            <w:pPr>
              <w:jc w:val="both"/>
              <w:rPr>
                <w:rFonts w:ascii="Arial" w:hAnsi="Arial" w:cs="Arial"/>
                <w:i/>
                <w:sz w:val="18"/>
                <w:szCs w:val="18"/>
                <w:highlight w:val="yellow"/>
              </w:rPr>
            </w:pPr>
            <w:r w:rsidRPr="000A0D76">
              <w:rPr>
                <w:rFonts w:ascii="Arial" w:hAnsi="Arial" w:cs="Arial"/>
                <w:i/>
                <w:sz w:val="18"/>
                <w:szCs w:val="18"/>
                <w:highlight w:val="yellow"/>
              </w:rPr>
              <w:t>Ja (Detailprüfung / Kritische Beurteilung) / Nein</w:t>
            </w:r>
          </w:p>
        </w:tc>
      </w:tr>
      <w:tr w:rsidR="00C57CE8" w:rsidRPr="000A0D76" w14:paraId="2E43D3BC" w14:textId="77777777" w:rsidTr="006236F5">
        <w:tc>
          <w:tcPr>
            <w:tcW w:w="5798" w:type="dxa"/>
            <w:gridSpan w:val="3"/>
          </w:tcPr>
          <w:p w14:paraId="41D1F153" w14:textId="77777777" w:rsidR="00C57CE8" w:rsidRPr="006236F5" w:rsidRDefault="00C57CE8" w:rsidP="006236F5">
            <w:pPr>
              <w:jc w:val="both"/>
              <w:rPr>
                <w:rFonts w:ascii="Arial" w:hAnsi="Arial" w:cs="Arial"/>
                <w:sz w:val="18"/>
                <w:szCs w:val="18"/>
              </w:rPr>
            </w:pPr>
            <w:r w:rsidRPr="006236F5">
              <w:rPr>
                <w:rFonts w:ascii="Arial" w:hAnsi="Arial" w:cs="Arial"/>
                <w:sz w:val="18"/>
                <w:szCs w:val="18"/>
              </w:rPr>
              <w:t>Bestätigung, dass die internen Verfahren effektiv sind, betroffene Personen (Personen, deren Tätigkeiten Anlass zu einem Interessenkonflikt geben könnten oder die aufgrund von Tätigkeiten, die sie im Namen der Firma ausüben, Zugang zu Insider-Informationen oder zu anderen vertraulichen Informationen über Kunden oder über Geschäfte, die mit oder für Kunden getätigt werden, haben) präventiv an unzulässigen Tätigkeiten zu hindern.</w:t>
            </w:r>
          </w:p>
        </w:tc>
        <w:tc>
          <w:tcPr>
            <w:tcW w:w="3382" w:type="dxa"/>
          </w:tcPr>
          <w:p w14:paraId="2E23CB87" w14:textId="77777777" w:rsidR="00C57CE8" w:rsidRPr="000A0D76" w:rsidRDefault="00C57CE8" w:rsidP="006236F5">
            <w:pPr>
              <w:jc w:val="both"/>
              <w:rPr>
                <w:rFonts w:ascii="Arial" w:hAnsi="Arial" w:cs="Arial"/>
                <w:i/>
                <w:sz w:val="18"/>
                <w:szCs w:val="18"/>
                <w:highlight w:val="yellow"/>
              </w:rPr>
            </w:pPr>
            <w:r w:rsidRPr="000A0D76">
              <w:rPr>
                <w:rFonts w:ascii="Arial" w:hAnsi="Arial" w:cs="Arial"/>
                <w:i/>
                <w:sz w:val="18"/>
                <w:szCs w:val="18"/>
                <w:highlight w:val="yellow"/>
              </w:rPr>
              <w:t>Ja (Detailprüfung / Kritische Beurteilung) / Nein</w:t>
            </w:r>
          </w:p>
        </w:tc>
      </w:tr>
      <w:tr w:rsidR="00C57CE8" w:rsidRPr="000A0D76" w14:paraId="6FB64EAE" w14:textId="77777777" w:rsidTr="006236F5">
        <w:tc>
          <w:tcPr>
            <w:tcW w:w="5798" w:type="dxa"/>
            <w:gridSpan w:val="3"/>
          </w:tcPr>
          <w:p w14:paraId="7B1E9707" w14:textId="77777777" w:rsidR="00C57CE8" w:rsidRPr="006236F5" w:rsidRDefault="00C57CE8" w:rsidP="006236F5">
            <w:pPr>
              <w:jc w:val="both"/>
              <w:rPr>
                <w:rFonts w:ascii="Arial" w:hAnsi="Arial" w:cs="Arial"/>
                <w:sz w:val="18"/>
                <w:szCs w:val="18"/>
              </w:rPr>
            </w:pPr>
            <w:r w:rsidRPr="001736EB">
              <w:rPr>
                <w:rFonts w:ascii="Arial" w:hAnsi="Arial" w:cs="Arial"/>
                <w:sz w:val="18"/>
                <w:szCs w:val="18"/>
              </w:rPr>
              <w:t xml:space="preserve">Bestätigung, dass die internen Regelungen und Verfahren gewährleisten, dass bei der Überwachung, Aufdeckung und Identifizierung von Geschäften und Aufträgen, die Insidergeschäfte, Marktmanipulation oder versuchte Insidergeschäfte bzw. versuchte Marktmanipulation </w:t>
            </w:r>
            <w:r>
              <w:rPr>
                <w:rFonts w:ascii="Arial" w:hAnsi="Arial" w:cs="Arial"/>
                <w:sz w:val="18"/>
                <w:szCs w:val="18"/>
              </w:rPr>
              <w:t>darstellen</w:t>
            </w:r>
            <w:r w:rsidRPr="001736EB">
              <w:rPr>
                <w:rFonts w:ascii="Arial" w:hAnsi="Arial" w:cs="Arial"/>
                <w:sz w:val="18"/>
                <w:szCs w:val="18"/>
              </w:rPr>
              <w:t xml:space="preserve"> könnten, in angemessenem Umfang personelle Untersuchungen vorgenommen werden.</w:t>
            </w:r>
          </w:p>
        </w:tc>
        <w:tc>
          <w:tcPr>
            <w:tcW w:w="3382" w:type="dxa"/>
          </w:tcPr>
          <w:p w14:paraId="5F94EF89" w14:textId="77777777" w:rsidR="00C57CE8" w:rsidRPr="000A0D76" w:rsidRDefault="00C57CE8" w:rsidP="006236F5">
            <w:pPr>
              <w:jc w:val="both"/>
              <w:rPr>
                <w:rFonts w:ascii="Arial" w:hAnsi="Arial" w:cs="Arial"/>
                <w:i/>
                <w:sz w:val="18"/>
                <w:szCs w:val="18"/>
                <w:highlight w:val="yellow"/>
              </w:rPr>
            </w:pPr>
            <w:r w:rsidRPr="000A0D76">
              <w:rPr>
                <w:rFonts w:ascii="Arial" w:hAnsi="Arial" w:cs="Arial"/>
                <w:i/>
                <w:sz w:val="18"/>
                <w:szCs w:val="18"/>
                <w:highlight w:val="yellow"/>
              </w:rPr>
              <w:t>Ja (Detailprüfung / Kritische Beurteilung) / Nein</w:t>
            </w:r>
          </w:p>
        </w:tc>
      </w:tr>
      <w:tr w:rsidR="00C57CE8" w:rsidRPr="000A0D76" w14:paraId="062CE8F4" w14:textId="77777777" w:rsidTr="006236F5">
        <w:tc>
          <w:tcPr>
            <w:tcW w:w="5798" w:type="dxa"/>
            <w:gridSpan w:val="3"/>
          </w:tcPr>
          <w:p w14:paraId="3FF56957" w14:textId="77777777" w:rsidR="00C57CE8" w:rsidRPr="00D3508C" w:rsidRDefault="00C57CE8" w:rsidP="006236F5">
            <w:pPr>
              <w:jc w:val="both"/>
              <w:rPr>
                <w:rFonts w:ascii="Arial" w:hAnsi="Arial" w:cs="Arial"/>
                <w:sz w:val="18"/>
                <w:szCs w:val="18"/>
              </w:rPr>
            </w:pPr>
            <w:r>
              <w:rPr>
                <w:rFonts w:ascii="Arial" w:hAnsi="Arial" w:cs="Arial"/>
                <w:sz w:val="18"/>
                <w:szCs w:val="18"/>
              </w:rPr>
              <w:t xml:space="preserve">Bestätigung, dass, sofern </w:t>
            </w:r>
            <w:r w:rsidRPr="00D3508C">
              <w:rPr>
                <w:rFonts w:ascii="Arial" w:hAnsi="Arial" w:cs="Arial"/>
                <w:sz w:val="18"/>
                <w:szCs w:val="18"/>
              </w:rPr>
              <w:t xml:space="preserve">die Wahrnehmung der Aufgaben im Zusammenhang mit der Überwachung, Aufdeckung und Identifizierung von Aufträgen und Geschäften auf eine juristische Person  derselben Gruppe </w:t>
            </w:r>
            <w:r>
              <w:rPr>
                <w:rFonts w:ascii="Arial" w:hAnsi="Arial" w:cs="Arial"/>
                <w:sz w:val="18"/>
                <w:szCs w:val="18"/>
              </w:rPr>
              <w:t xml:space="preserve">ausgelagert werden, diese </w:t>
            </w:r>
            <w:r w:rsidRPr="00D3508C">
              <w:rPr>
                <w:rFonts w:ascii="Arial" w:hAnsi="Arial" w:cs="Arial"/>
                <w:sz w:val="18"/>
                <w:szCs w:val="18"/>
              </w:rPr>
              <w:t xml:space="preserve">im Wege einer schriftlichen Vereinbarung </w:t>
            </w:r>
            <w:r>
              <w:rPr>
                <w:rFonts w:ascii="Arial" w:hAnsi="Arial" w:cs="Arial"/>
                <w:sz w:val="18"/>
                <w:szCs w:val="18"/>
              </w:rPr>
              <w:t xml:space="preserve">erfolgt ist und die Dokumentation sichergestellt ist, sowie sofern die </w:t>
            </w:r>
            <w:r w:rsidRPr="00D3508C">
              <w:rPr>
                <w:rFonts w:ascii="Arial" w:hAnsi="Arial" w:cs="Arial"/>
                <w:sz w:val="18"/>
                <w:szCs w:val="18"/>
              </w:rPr>
              <w:t>Analyse von Daten</w:t>
            </w:r>
            <w:r>
              <w:rPr>
                <w:rFonts w:ascii="Arial" w:hAnsi="Arial" w:cs="Arial"/>
                <w:sz w:val="18"/>
                <w:szCs w:val="18"/>
              </w:rPr>
              <w:t xml:space="preserve"> </w:t>
            </w:r>
            <w:r w:rsidRPr="00D3508C">
              <w:rPr>
                <w:rFonts w:ascii="Arial" w:hAnsi="Arial" w:cs="Arial"/>
                <w:sz w:val="18"/>
                <w:szCs w:val="18"/>
              </w:rPr>
              <w:t>im Wege einer schriftlichen Vereinbarung auf einen Dritten übertragen</w:t>
            </w:r>
            <w:r>
              <w:rPr>
                <w:rFonts w:ascii="Arial" w:hAnsi="Arial" w:cs="Arial"/>
                <w:sz w:val="18"/>
                <w:szCs w:val="18"/>
              </w:rPr>
              <w:t xml:space="preserve"> werden, die</w:t>
            </w:r>
            <w:r w:rsidRPr="00D3508C">
              <w:rPr>
                <w:rFonts w:ascii="Arial" w:hAnsi="Arial" w:cs="Arial"/>
                <w:sz w:val="18"/>
                <w:szCs w:val="18"/>
              </w:rPr>
              <w:t xml:space="preserve"> </w:t>
            </w:r>
            <w:r>
              <w:rPr>
                <w:rFonts w:ascii="Arial" w:hAnsi="Arial" w:cs="Arial"/>
                <w:sz w:val="18"/>
                <w:szCs w:val="18"/>
              </w:rPr>
              <w:t xml:space="preserve">erforderlichen internen </w:t>
            </w:r>
            <w:r w:rsidRPr="00D3508C">
              <w:rPr>
                <w:rFonts w:ascii="Arial" w:hAnsi="Arial" w:cs="Arial"/>
                <w:sz w:val="18"/>
                <w:szCs w:val="18"/>
              </w:rPr>
              <w:t>Fachkenntnisse und der Ressourcen</w:t>
            </w:r>
            <w:r>
              <w:rPr>
                <w:rFonts w:ascii="Arial" w:hAnsi="Arial" w:cs="Arial"/>
                <w:sz w:val="18"/>
                <w:szCs w:val="18"/>
              </w:rPr>
              <w:t xml:space="preserve"> sichergestellt werden und </w:t>
            </w:r>
            <w:r w:rsidRPr="00D3508C">
              <w:rPr>
                <w:rFonts w:ascii="Arial" w:hAnsi="Arial" w:cs="Arial"/>
                <w:sz w:val="18"/>
                <w:szCs w:val="18"/>
              </w:rPr>
              <w:t>unmittelbare</w:t>
            </w:r>
            <w:r>
              <w:rPr>
                <w:rFonts w:ascii="Arial" w:hAnsi="Arial" w:cs="Arial"/>
                <w:sz w:val="18"/>
                <w:szCs w:val="18"/>
              </w:rPr>
              <w:t>r</w:t>
            </w:r>
            <w:r w:rsidRPr="00D3508C">
              <w:rPr>
                <w:rFonts w:ascii="Arial" w:hAnsi="Arial" w:cs="Arial"/>
                <w:sz w:val="18"/>
                <w:szCs w:val="18"/>
              </w:rPr>
              <w:t xml:space="preserve"> Zugang zu allen relevanten Informationen betreffend die Datenanalyse und die Erstellung von Warnmeldungen</w:t>
            </w:r>
            <w:r>
              <w:rPr>
                <w:rFonts w:ascii="Arial" w:hAnsi="Arial" w:cs="Arial"/>
                <w:sz w:val="18"/>
                <w:szCs w:val="18"/>
              </w:rPr>
              <w:t xml:space="preserve"> besteht</w:t>
            </w:r>
            <w:r w:rsidRPr="00D3508C">
              <w:rPr>
                <w:rFonts w:ascii="Arial" w:hAnsi="Arial" w:cs="Arial"/>
                <w:sz w:val="18"/>
                <w:szCs w:val="18"/>
              </w:rPr>
              <w:t>.</w:t>
            </w:r>
          </w:p>
        </w:tc>
        <w:tc>
          <w:tcPr>
            <w:tcW w:w="3382" w:type="dxa"/>
          </w:tcPr>
          <w:p w14:paraId="44D6F975" w14:textId="77777777" w:rsidR="00C57CE8" w:rsidRPr="000A0D76" w:rsidRDefault="00C57CE8" w:rsidP="006236F5">
            <w:pPr>
              <w:jc w:val="both"/>
              <w:rPr>
                <w:rFonts w:ascii="Arial" w:hAnsi="Arial" w:cs="Arial"/>
                <w:i/>
                <w:sz w:val="18"/>
                <w:szCs w:val="18"/>
                <w:highlight w:val="yellow"/>
              </w:rPr>
            </w:pPr>
            <w:r w:rsidRPr="00FF15E4">
              <w:rPr>
                <w:rFonts w:ascii="Arial" w:hAnsi="Arial" w:cs="Arial"/>
                <w:i/>
                <w:sz w:val="18"/>
                <w:szCs w:val="18"/>
                <w:highlight w:val="yellow"/>
              </w:rPr>
              <w:t>Ja (Detailprüfung / Kritische Beurteilung) / Nein</w:t>
            </w:r>
          </w:p>
        </w:tc>
      </w:tr>
      <w:tr w:rsidR="00C57CE8" w:rsidRPr="000A0D76" w14:paraId="21DFCFF9" w14:textId="77777777" w:rsidTr="006236F5">
        <w:tc>
          <w:tcPr>
            <w:tcW w:w="5798" w:type="dxa"/>
            <w:gridSpan w:val="3"/>
          </w:tcPr>
          <w:p w14:paraId="03F19E41" w14:textId="77777777" w:rsidR="00C57CE8" w:rsidRPr="00BD6949" w:rsidRDefault="00C57CE8" w:rsidP="006236F5">
            <w:pPr>
              <w:jc w:val="both"/>
              <w:rPr>
                <w:rFonts w:ascii="Arial" w:hAnsi="Arial" w:cs="Arial"/>
                <w:sz w:val="18"/>
                <w:szCs w:val="18"/>
              </w:rPr>
            </w:pPr>
            <w:r>
              <w:rPr>
                <w:rFonts w:ascii="Arial" w:hAnsi="Arial" w:cs="Arial"/>
                <w:sz w:val="18"/>
                <w:szCs w:val="18"/>
              </w:rPr>
              <w:lastRenderedPageBreak/>
              <w:t xml:space="preserve">Bestätigung, dass </w:t>
            </w:r>
            <w:r w:rsidRPr="00BD6949">
              <w:rPr>
                <w:rFonts w:ascii="Arial" w:hAnsi="Arial" w:cs="Arial"/>
                <w:sz w:val="18"/>
                <w:szCs w:val="18"/>
              </w:rPr>
              <w:t>die Informationen, die die in Bezug auf Aufträge und Geschäfte, die Insidergeschäfte, Marktmanipulation oder versuchte Insidergeschäfte bzw. versuchte Marktmanipulation sein könnten</w:t>
            </w:r>
            <w:r>
              <w:rPr>
                <w:rFonts w:ascii="Arial" w:hAnsi="Arial" w:cs="Arial"/>
                <w:sz w:val="18"/>
                <w:szCs w:val="18"/>
              </w:rPr>
              <w:t>,</w:t>
            </w:r>
            <w:r w:rsidRPr="00BD6949">
              <w:rPr>
                <w:rFonts w:ascii="Arial" w:hAnsi="Arial" w:cs="Arial"/>
                <w:sz w:val="18"/>
                <w:szCs w:val="18"/>
              </w:rPr>
              <w:t xml:space="preserve"> durchgeführten Untersuchungen belegen und die Gründe für die Übermittlung oder Nichtübermittlung einer Verdachtsmeldung ausweisen, für einen Zeitraum von fünf Jahren aufbewahrt werden.</w:t>
            </w:r>
          </w:p>
        </w:tc>
        <w:tc>
          <w:tcPr>
            <w:tcW w:w="3382" w:type="dxa"/>
          </w:tcPr>
          <w:p w14:paraId="6750CD45" w14:textId="77777777" w:rsidR="00C57CE8" w:rsidRPr="000A0D76" w:rsidRDefault="00C57CE8" w:rsidP="006236F5">
            <w:pPr>
              <w:jc w:val="both"/>
              <w:rPr>
                <w:rFonts w:ascii="Arial" w:hAnsi="Arial" w:cs="Arial"/>
                <w:i/>
                <w:sz w:val="18"/>
                <w:szCs w:val="18"/>
                <w:highlight w:val="yellow"/>
              </w:rPr>
            </w:pPr>
            <w:r w:rsidRPr="00FF15E4">
              <w:rPr>
                <w:rFonts w:ascii="Arial" w:hAnsi="Arial" w:cs="Arial"/>
                <w:i/>
                <w:sz w:val="18"/>
                <w:szCs w:val="18"/>
                <w:highlight w:val="yellow"/>
              </w:rPr>
              <w:t>Ja (Detailprüfung / Kritische Beurteilung) / Nein</w:t>
            </w:r>
          </w:p>
        </w:tc>
      </w:tr>
      <w:tr w:rsidR="00C57CE8" w:rsidRPr="000A0D76" w14:paraId="31EFF423" w14:textId="77777777" w:rsidTr="006236F5">
        <w:tc>
          <w:tcPr>
            <w:tcW w:w="5798" w:type="dxa"/>
            <w:gridSpan w:val="3"/>
          </w:tcPr>
          <w:p w14:paraId="223A3942" w14:textId="77777777" w:rsidR="00C57CE8" w:rsidRPr="00B96119" w:rsidRDefault="00C57CE8" w:rsidP="006236F5">
            <w:pPr>
              <w:jc w:val="both"/>
              <w:rPr>
                <w:rFonts w:ascii="Arial" w:hAnsi="Arial" w:cs="Arial"/>
                <w:sz w:val="18"/>
                <w:szCs w:val="18"/>
              </w:rPr>
            </w:pPr>
            <w:r>
              <w:rPr>
                <w:rFonts w:ascii="Arial" w:hAnsi="Arial" w:cs="Arial"/>
                <w:sz w:val="18"/>
                <w:szCs w:val="18"/>
              </w:rPr>
              <w:t xml:space="preserve">Bestätigung, dass </w:t>
            </w:r>
            <w:r w:rsidRPr="00B96119">
              <w:rPr>
                <w:rFonts w:ascii="Arial" w:hAnsi="Arial" w:cs="Arial"/>
                <w:sz w:val="18"/>
                <w:szCs w:val="18"/>
              </w:rPr>
              <w:t>effiziente und umfassende Schulungsma</w:t>
            </w:r>
            <w:r>
              <w:rPr>
                <w:rFonts w:ascii="Arial" w:hAnsi="Arial" w:cs="Arial"/>
                <w:sz w:val="18"/>
                <w:szCs w:val="18"/>
              </w:rPr>
              <w:t>ss</w:t>
            </w:r>
            <w:r w:rsidRPr="00B96119">
              <w:rPr>
                <w:rFonts w:ascii="Arial" w:hAnsi="Arial" w:cs="Arial"/>
                <w:sz w:val="18"/>
                <w:szCs w:val="18"/>
              </w:rPr>
              <w:t xml:space="preserve">nahmen für das Personal, das an der Überwachung, Aufdeckung und Identifizierung von Geschäften und Aufträgen beteiligt ist, die Insidergeschäfte, Marktmanipulation </w:t>
            </w:r>
            <w:r>
              <w:rPr>
                <w:rFonts w:ascii="Arial" w:hAnsi="Arial" w:cs="Arial"/>
                <w:sz w:val="18"/>
                <w:szCs w:val="18"/>
              </w:rPr>
              <w:t>bzw.</w:t>
            </w:r>
            <w:r w:rsidRPr="00B96119">
              <w:rPr>
                <w:rFonts w:ascii="Arial" w:hAnsi="Arial" w:cs="Arial"/>
                <w:sz w:val="18"/>
                <w:szCs w:val="18"/>
              </w:rPr>
              <w:t xml:space="preserve"> den Versuch hierzu darstellen könnten, wobei auch das mit der Bearbeitung von Aufträgen und Geschäften befasste Personal mit einbezogen wird</w:t>
            </w:r>
            <w:r>
              <w:rPr>
                <w:rFonts w:ascii="Arial" w:hAnsi="Arial" w:cs="Arial"/>
                <w:sz w:val="18"/>
                <w:szCs w:val="18"/>
              </w:rPr>
              <w:t xml:space="preserve">, </w:t>
            </w:r>
            <w:r w:rsidRPr="00B96119">
              <w:rPr>
                <w:rFonts w:ascii="Arial" w:hAnsi="Arial" w:cs="Arial"/>
                <w:sz w:val="18"/>
                <w:szCs w:val="18"/>
              </w:rPr>
              <w:t>regelmä</w:t>
            </w:r>
            <w:r>
              <w:rPr>
                <w:rFonts w:ascii="Arial" w:hAnsi="Arial" w:cs="Arial"/>
                <w:sz w:val="18"/>
                <w:szCs w:val="18"/>
              </w:rPr>
              <w:t>ss</w:t>
            </w:r>
            <w:r w:rsidRPr="00B96119">
              <w:rPr>
                <w:rFonts w:ascii="Arial" w:hAnsi="Arial" w:cs="Arial"/>
                <w:sz w:val="18"/>
                <w:szCs w:val="18"/>
              </w:rPr>
              <w:t>ig organisier</w:t>
            </w:r>
            <w:r>
              <w:rPr>
                <w:rFonts w:ascii="Arial" w:hAnsi="Arial" w:cs="Arial"/>
                <w:sz w:val="18"/>
                <w:szCs w:val="18"/>
              </w:rPr>
              <w:t xml:space="preserve">t und </w:t>
            </w:r>
            <w:r w:rsidRPr="00B96119">
              <w:rPr>
                <w:rFonts w:ascii="Arial" w:hAnsi="Arial" w:cs="Arial"/>
                <w:sz w:val="18"/>
                <w:szCs w:val="18"/>
              </w:rPr>
              <w:t>veranstalte</w:t>
            </w:r>
            <w:r>
              <w:rPr>
                <w:rFonts w:ascii="Arial" w:hAnsi="Arial" w:cs="Arial"/>
                <w:sz w:val="18"/>
                <w:szCs w:val="18"/>
              </w:rPr>
              <w:t>t werden.</w:t>
            </w:r>
          </w:p>
        </w:tc>
        <w:tc>
          <w:tcPr>
            <w:tcW w:w="3382" w:type="dxa"/>
          </w:tcPr>
          <w:p w14:paraId="2EB35C7D" w14:textId="77777777" w:rsidR="00C57CE8" w:rsidRPr="000A0D76" w:rsidRDefault="00C57CE8" w:rsidP="006236F5">
            <w:pPr>
              <w:jc w:val="both"/>
              <w:rPr>
                <w:rFonts w:ascii="Arial" w:hAnsi="Arial" w:cs="Arial"/>
                <w:i/>
                <w:sz w:val="18"/>
                <w:szCs w:val="18"/>
                <w:highlight w:val="yellow"/>
              </w:rPr>
            </w:pPr>
            <w:r w:rsidRPr="00FF15E4">
              <w:rPr>
                <w:rFonts w:ascii="Arial" w:hAnsi="Arial" w:cs="Arial"/>
                <w:i/>
                <w:sz w:val="18"/>
                <w:szCs w:val="18"/>
                <w:highlight w:val="yellow"/>
              </w:rPr>
              <w:t>Ja (Detailprüfung / Kritische Beurteilung) / Nein</w:t>
            </w:r>
          </w:p>
        </w:tc>
      </w:tr>
      <w:tr w:rsidR="00C57CE8" w:rsidRPr="000A0D76" w14:paraId="176C6E5E" w14:textId="77777777" w:rsidTr="006236F5">
        <w:tc>
          <w:tcPr>
            <w:tcW w:w="5798" w:type="dxa"/>
            <w:gridSpan w:val="3"/>
          </w:tcPr>
          <w:p w14:paraId="5D75BC8D" w14:textId="77777777" w:rsidR="00C57CE8" w:rsidRDefault="00C57CE8" w:rsidP="006236F5">
            <w:pPr>
              <w:jc w:val="both"/>
              <w:rPr>
                <w:rFonts w:ascii="Arial" w:hAnsi="Arial" w:cs="Arial"/>
                <w:sz w:val="18"/>
                <w:szCs w:val="18"/>
              </w:rPr>
            </w:pPr>
            <w:r w:rsidRPr="00AE481A">
              <w:rPr>
                <w:rFonts w:ascii="Arial" w:hAnsi="Arial" w:cs="Arial"/>
                <w:sz w:val="18"/>
                <w:szCs w:val="18"/>
              </w:rPr>
              <w:t>Bestätigung, dass die internen Regelungen, Systeme und Verfahren die unverzügliche Übermittlung von Verdachtsmeldungen</w:t>
            </w:r>
            <w:r>
              <w:rPr>
                <w:rFonts w:ascii="Arial" w:hAnsi="Arial" w:cs="Arial"/>
                <w:sz w:val="18"/>
                <w:szCs w:val="18"/>
              </w:rPr>
              <w:t xml:space="preserve"> </w:t>
            </w:r>
            <w:r w:rsidRPr="00AE481A">
              <w:rPr>
                <w:rFonts w:ascii="Arial" w:hAnsi="Arial" w:cs="Arial"/>
                <w:sz w:val="18"/>
                <w:szCs w:val="18"/>
              </w:rPr>
              <w:t>an die zuständigen Behörden sicherstellen</w:t>
            </w:r>
            <w:r>
              <w:rPr>
                <w:rFonts w:ascii="Arial" w:hAnsi="Arial" w:cs="Arial"/>
                <w:sz w:val="18"/>
                <w:szCs w:val="18"/>
              </w:rPr>
              <w:t xml:space="preserve"> und die internen Regelungen und Verfahren gewährleisten, dass Personen zu der die Verdachtsmeldung übermittelt wurde oder andere Personen, die nicht aufgrund ihrer Funktion oder Position Kenntnis haben müssen, nicht über die Verdachtsmeldung unterrichtet werden.</w:t>
            </w:r>
          </w:p>
        </w:tc>
        <w:tc>
          <w:tcPr>
            <w:tcW w:w="3382" w:type="dxa"/>
          </w:tcPr>
          <w:p w14:paraId="08CF6543" w14:textId="77777777" w:rsidR="00C57CE8" w:rsidRPr="000A0D76" w:rsidRDefault="00C57CE8" w:rsidP="006236F5">
            <w:pPr>
              <w:jc w:val="both"/>
              <w:rPr>
                <w:rFonts w:ascii="Arial" w:hAnsi="Arial" w:cs="Arial"/>
                <w:i/>
                <w:sz w:val="18"/>
                <w:szCs w:val="18"/>
                <w:highlight w:val="yellow"/>
              </w:rPr>
            </w:pPr>
            <w:r w:rsidRPr="006236F5">
              <w:rPr>
                <w:rFonts w:ascii="Arial" w:hAnsi="Arial" w:cs="Arial"/>
                <w:i/>
                <w:sz w:val="18"/>
                <w:szCs w:val="18"/>
                <w:highlight w:val="yellow"/>
              </w:rPr>
              <w:t>Ja (Detailprüfung / Kritische Beurteilung) / Nein</w:t>
            </w:r>
          </w:p>
        </w:tc>
      </w:tr>
      <w:tr w:rsidR="00C57CE8" w:rsidRPr="000A0D76" w14:paraId="1057CC78" w14:textId="77777777" w:rsidTr="006236F5">
        <w:tc>
          <w:tcPr>
            <w:tcW w:w="5798" w:type="dxa"/>
            <w:gridSpan w:val="3"/>
          </w:tcPr>
          <w:p w14:paraId="35D2DA60" w14:textId="77777777" w:rsidR="00C57CE8" w:rsidRPr="00AE481A" w:rsidRDefault="00C57CE8" w:rsidP="006236F5">
            <w:pPr>
              <w:jc w:val="both"/>
              <w:rPr>
                <w:rFonts w:ascii="Arial" w:hAnsi="Arial" w:cs="Arial"/>
                <w:sz w:val="18"/>
                <w:szCs w:val="18"/>
              </w:rPr>
            </w:pPr>
            <w:r>
              <w:rPr>
                <w:rFonts w:ascii="Arial" w:hAnsi="Arial" w:cs="Arial"/>
                <w:sz w:val="18"/>
                <w:szCs w:val="18"/>
              </w:rPr>
              <w:t>Bestätigung, dass</w:t>
            </w:r>
            <w:r w:rsidRPr="002B167A">
              <w:rPr>
                <w:rFonts w:ascii="Arial" w:hAnsi="Arial" w:cs="Arial"/>
                <w:sz w:val="18"/>
                <w:szCs w:val="18"/>
              </w:rPr>
              <w:t xml:space="preserve"> bei Verdachtsmeldung</w:t>
            </w:r>
            <w:r>
              <w:rPr>
                <w:rFonts w:ascii="Arial" w:hAnsi="Arial" w:cs="Arial"/>
                <w:sz w:val="18"/>
                <w:szCs w:val="18"/>
              </w:rPr>
              <w:t>en alle im</w:t>
            </w:r>
            <w:r w:rsidRPr="002B167A">
              <w:rPr>
                <w:rFonts w:ascii="Arial" w:hAnsi="Arial" w:cs="Arial"/>
                <w:sz w:val="18"/>
                <w:szCs w:val="18"/>
              </w:rPr>
              <w:t xml:space="preserve"> Meldetemplate </w:t>
            </w:r>
            <w:r>
              <w:rPr>
                <w:rFonts w:ascii="Arial" w:hAnsi="Arial" w:cs="Arial"/>
                <w:sz w:val="18"/>
                <w:szCs w:val="18"/>
              </w:rPr>
              <w:t xml:space="preserve">angeforderten Angaben samt allen </w:t>
            </w:r>
            <w:r w:rsidRPr="002B167A">
              <w:rPr>
                <w:rFonts w:ascii="Arial" w:hAnsi="Arial" w:cs="Arial"/>
                <w:sz w:val="18"/>
                <w:szCs w:val="18"/>
              </w:rPr>
              <w:t>zur Verfügung stehenden Informatione</w:t>
            </w:r>
            <w:r>
              <w:rPr>
                <w:rFonts w:ascii="Arial" w:hAnsi="Arial" w:cs="Arial"/>
                <w:sz w:val="18"/>
                <w:szCs w:val="18"/>
              </w:rPr>
              <w:t>n</w:t>
            </w:r>
            <w:r w:rsidRPr="002B167A">
              <w:rPr>
                <w:rFonts w:ascii="Arial" w:hAnsi="Arial" w:cs="Arial"/>
                <w:sz w:val="18"/>
                <w:szCs w:val="18"/>
              </w:rPr>
              <w:t xml:space="preserve"> </w:t>
            </w:r>
            <w:r>
              <w:rPr>
                <w:rFonts w:ascii="Arial" w:hAnsi="Arial" w:cs="Arial"/>
                <w:sz w:val="18"/>
                <w:szCs w:val="18"/>
              </w:rPr>
              <w:t>und Unterlagen</w:t>
            </w:r>
            <w:r w:rsidRPr="002B167A">
              <w:rPr>
                <w:rFonts w:ascii="Arial" w:hAnsi="Arial" w:cs="Arial"/>
                <w:sz w:val="18"/>
                <w:szCs w:val="18"/>
              </w:rPr>
              <w:t xml:space="preserve"> einschlie</w:t>
            </w:r>
            <w:r>
              <w:rPr>
                <w:rFonts w:ascii="Arial" w:hAnsi="Arial" w:cs="Arial"/>
                <w:sz w:val="18"/>
                <w:szCs w:val="18"/>
              </w:rPr>
              <w:t>ss</w:t>
            </w:r>
            <w:r w:rsidRPr="002B167A">
              <w:rPr>
                <w:rFonts w:ascii="Arial" w:hAnsi="Arial" w:cs="Arial"/>
                <w:sz w:val="18"/>
                <w:szCs w:val="18"/>
              </w:rPr>
              <w:t>lich aller Belege</w:t>
            </w:r>
            <w:r>
              <w:rPr>
                <w:rFonts w:ascii="Arial" w:hAnsi="Arial" w:cs="Arial"/>
                <w:sz w:val="18"/>
                <w:szCs w:val="18"/>
              </w:rPr>
              <w:t xml:space="preserve"> und</w:t>
            </w:r>
            <w:r w:rsidRPr="002B167A">
              <w:rPr>
                <w:rFonts w:ascii="Arial" w:hAnsi="Arial" w:cs="Arial"/>
                <w:sz w:val="18"/>
                <w:szCs w:val="18"/>
              </w:rPr>
              <w:t xml:space="preserve"> </w:t>
            </w:r>
            <w:r>
              <w:rPr>
                <w:rFonts w:ascii="Arial" w:hAnsi="Arial" w:cs="Arial"/>
                <w:sz w:val="18"/>
                <w:szCs w:val="18"/>
              </w:rPr>
              <w:t xml:space="preserve">unter Verwendung </w:t>
            </w:r>
            <w:r w:rsidRPr="002B167A">
              <w:rPr>
                <w:rFonts w:ascii="Arial" w:hAnsi="Arial" w:cs="Arial"/>
                <w:sz w:val="18"/>
                <w:szCs w:val="18"/>
              </w:rPr>
              <w:t xml:space="preserve"> </w:t>
            </w:r>
            <w:r>
              <w:rPr>
                <w:rFonts w:ascii="Arial" w:hAnsi="Arial" w:cs="Arial"/>
                <w:sz w:val="18"/>
                <w:szCs w:val="18"/>
              </w:rPr>
              <w:t>der von der z</w:t>
            </w:r>
            <w:r w:rsidRPr="002B167A">
              <w:rPr>
                <w:rFonts w:ascii="Arial" w:hAnsi="Arial" w:cs="Arial"/>
                <w:sz w:val="18"/>
                <w:szCs w:val="18"/>
              </w:rPr>
              <w:t>uständigen Behörde angegebenen elektronischen Mittel</w:t>
            </w:r>
            <w:r>
              <w:rPr>
                <w:rFonts w:ascii="Arial" w:hAnsi="Arial" w:cs="Arial"/>
                <w:sz w:val="18"/>
                <w:szCs w:val="18"/>
              </w:rPr>
              <w:t xml:space="preserve"> übermittelt werden.</w:t>
            </w:r>
          </w:p>
        </w:tc>
        <w:tc>
          <w:tcPr>
            <w:tcW w:w="3382" w:type="dxa"/>
          </w:tcPr>
          <w:p w14:paraId="751060A0" w14:textId="77777777" w:rsidR="00C57CE8" w:rsidRPr="002B167A" w:rsidRDefault="00C57CE8" w:rsidP="006236F5">
            <w:pPr>
              <w:jc w:val="both"/>
              <w:rPr>
                <w:rFonts w:ascii="Arial" w:hAnsi="Arial" w:cs="Arial"/>
                <w:i/>
                <w:sz w:val="18"/>
                <w:szCs w:val="18"/>
                <w:highlight w:val="yellow"/>
              </w:rPr>
            </w:pPr>
            <w:r w:rsidRPr="00FF15E4">
              <w:rPr>
                <w:rFonts w:ascii="Arial" w:hAnsi="Arial" w:cs="Arial"/>
                <w:i/>
                <w:sz w:val="18"/>
                <w:szCs w:val="18"/>
                <w:highlight w:val="yellow"/>
              </w:rPr>
              <w:t>Ja (Detailprüfung / Kritische Beurteilung) / Nein</w:t>
            </w:r>
          </w:p>
        </w:tc>
      </w:tr>
    </w:tbl>
    <w:p w14:paraId="134BD244" w14:textId="77777777" w:rsidR="00C57CE8" w:rsidRDefault="00C57CE8" w:rsidP="00C57CE8">
      <w:pPr>
        <w:jc w:val="both"/>
      </w:pPr>
      <w:r>
        <w:br w:type="textWrapping" w:clear="all"/>
      </w:r>
    </w:p>
    <w:p w14:paraId="5ECE36CB" w14:textId="77777777" w:rsidR="00C57CE8" w:rsidRPr="006236F5" w:rsidRDefault="00C57CE8" w:rsidP="00C57CE8">
      <w:pPr>
        <w:jc w:val="both"/>
        <w:rPr>
          <w:sz w:val="16"/>
          <w:szCs w:val="16"/>
        </w:rPr>
      </w:pPr>
      <w:r w:rsidRPr="006236F5">
        <w:rPr>
          <w:sz w:val="16"/>
          <w:szCs w:val="16"/>
          <w:highlight w:val="lightGray"/>
        </w:rPr>
        <w:t>*Die Bestimmungen gemäss VO (EU) 2023/1114 (MiCAR) sind nur dann anzuwenden, wenn die geprüfte Bank Tätigkeiten im Sinne der MiCAR erbringt – insbesondere Dienstleistungen in Bezug auf Krypto-Assets, die nicht als Finanzinstrumente im Sinne der MiFID II gelten.</w:t>
      </w:r>
      <w:r w:rsidRPr="006236F5">
        <w:rPr>
          <w:sz w:val="16"/>
          <w:szCs w:val="16"/>
        </w:rPr>
        <w:t xml:space="preserve"> </w:t>
      </w:r>
    </w:p>
    <w:p w14:paraId="2818FD83" w14:textId="77777777" w:rsidR="00C57CE8" w:rsidRDefault="00C57CE8" w:rsidP="00C57CE8">
      <w:pPr>
        <w:jc w:val="both"/>
      </w:pPr>
    </w:p>
    <w:tbl>
      <w:tblPr>
        <w:tblStyle w:val="Tabellenraster"/>
        <w:tblW w:w="0" w:type="auto"/>
        <w:tblLook w:val="04A0" w:firstRow="1" w:lastRow="0" w:firstColumn="1" w:lastColumn="0" w:noHBand="0" w:noVBand="1"/>
      </w:tblPr>
      <w:tblGrid>
        <w:gridCol w:w="2660"/>
        <w:gridCol w:w="6520"/>
      </w:tblGrid>
      <w:tr w:rsidR="00C57CE8" w:rsidRPr="00CE3194" w14:paraId="223D43B0" w14:textId="77777777" w:rsidTr="006236F5">
        <w:tc>
          <w:tcPr>
            <w:tcW w:w="2660" w:type="dxa"/>
          </w:tcPr>
          <w:p w14:paraId="61C2566A" w14:textId="77777777" w:rsidR="00C57CE8" w:rsidRPr="00CE3194" w:rsidRDefault="00C57CE8" w:rsidP="006236F5">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777A19D0" w14:textId="77777777" w:rsidR="00C57CE8" w:rsidRPr="00CE3194" w:rsidRDefault="00C57CE8" w:rsidP="006236F5">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C57CE8" w:rsidRPr="000A0D76" w14:paraId="78CCBD91" w14:textId="77777777" w:rsidTr="006236F5">
        <w:tc>
          <w:tcPr>
            <w:tcW w:w="2660" w:type="dxa"/>
          </w:tcPr>
          <w:p w14:paraId="235A8BFC" w14:textId="77777777" w:rsidR="00C57CE8" w:rsidRPr="006236F5" w:rsidRDefault="00C57CE8" w:rsidP="006236F5">
            <w:pPr>
              <w:jc w:val="both"/>
              <w:rPr>
                <w:rFonts w:ascii="Arial" w:hAnsi="Arial" w:cs="Arial"/>
                <w:i/>
                <w:sz w:val="20"/>
                <w:szCs w:val="20"/>
                <w:highlight w:val="lightGray"/>
              </w:rPr>
            </w:pPr>
            <w:r w:rsidRPr="00B0044E">
              <w:rPr>
                <w:rFonts w:ascii="Arial" w:hAnsi="Arial" w:cs="Arial"/>
                <w:i/>
                <w:sz w:val="20"/>
                <w:szCs w:val="20"/>
                <w:highlight w:val="lightGray"/>
              </w:rPr>
              <w:t xml:space="preserve">Verhinderung und Überwachung von Marktmissbrauch gemäss MAR und </w:t>
            </w:r>
            <w:r>
              <w:rPr>
                <w:rFonts w:ascii="Arial" w:hAnsi="Arial" w:cs="Arial"/>
                <w:i/>
                <w:sz w:val="20"/>
                <w:szCs w:val="20"/>
                <w:highlight w:val="lightGray"/>
              </w:rPr>
              <w:t>M</w:t>
            </w:r>
            <w:r w:rsidRPr="00B0044E">
              <w:rPr>
                <w:rFonts w:ascii="Arial" w:hAnsi="Arial" w:cs="Arial"/>
                <w:i/>
                <w:sz w:val="20"/>
                <w:szCs w:val="20"/>
                <w:highlight w:val="lightGray"/>
              </w:rPr>
              <w:t>iCAR</w:t>
            </w:r>
          </w:p>
        </w:tc>
        <w:tc>
          <w:tcPr>
            <w:tcW w:w="6520" w:type="dxa"/>
          </w:tcPr>
          <w:p w14:paraId="63B8FC3D" w14:textId="77777777" w:rsidR="00C57CE8" w:rsidRPr="001736EB" w:rsidRDefault="00C57CE8" w:rsidP="006236F5">
            <w:pPr>
              <w:pStyle w:val="Listenabsatz"/>
              <w:numPr>
                <w:ilvl w:val="1"/>
                <w:numId w:val="17"/>
              </w:numPr>
              <w:ind w:left="317" w:hanging="283"/>
              <w:jc w:val="both"/>
              <w:rPr>
                <w:rFonts w:cs="Arial"/>
                <w:i/>
                <w:szCs w:val="20"/>
                <w:highlight w:val="lightGray"/>
              </w:rPr>
            </w:pPr>
            <w:r w:rsidRPr="001736EB">
              <w:rPr>
                <w:rFonts w:cs="Arial"/>
                <w:i/>
                <w:szCs w:val="20"/>
                <w:highlight w:val="lightGray"/>
              </w:rPr>
              <w:t>Die internen Regelungen, Systeme und Verfahren stellen sicher, dass alle eingegangenen und übermittelten Aufträge und alle ausgeführten Geschäfte im Zusammenhang mit allen Arten von Finanzinstrumenten für die Zwecke der Aufdeckung und Identifizierung von Aufträgen und Geschäften, die Insidergeschäfte, Marktmanipulation oder versuchte Insidergeschäfte bzw. versuchte Marktmanipulation darstellen könnten</w:t>
            </w:r>
            <w:r w:rsidRPr="009866FB">
              <w:rPr>
                <w:rFonts w:cs="Arial"/>
                <w:i/>
                <w:szCs w:val="20"/>
                <w:highlight w:val="lightGray"/>
              </w:rPr>
              <w:t>, wirksam sind und fortlaufend überwacht werden. (</w:t>
            </w:r>
            <w:r w:rsidRPr="001736EB">
              <w:rPr>
                <w:rFonts w:cs="Arial"/>
                <w:i/>
                <w:szCs w:val="20"/>
                <w:highlight w:val="lightGray"/>
              </w:rPr>
              <w:t xml:space="preserve">Art. 2 Abs. 1 Bst. a und Abs. 2 DelVO (EU) 2016/957 bzw. </w:t>
            </w:r>
            <w:r w:rsidRPr="006236F5">
              <w:rPr>
                <w:rFonts w:cs="Arial"/>
                <w:i/>
                <w:szCs w:val="20"/>
                <w:highlight w:val="lightGray"/>
              </w:rPr>
              <w:t>Art. 92 Abs. 1 Satz 1 VO (EU) 2023/1114</w:t>
            </w:r>
            <w:r w:rsidRPr="001736EB">
              <w:rPr>
                <w:rFonts w:cs="Arial"/>
                <w:i/>
                <w:szCs w:val="20"/>
                <w:highlight w:val="lightGray"/>
              </w:rPr>
              <w:t>)</w:t>
            </w:r>
          </w:p>
          <w:p w14:paraId="4AB1AB1E" w14:textId="77777777" w:rsidR="00C57CE8" w:rsidRPr="006236F5" w:rsidRDefault="00C57CE8" w:rsidP="006236F5">
            <w:pPr>
              <w:pStyle w:val="Listenabsatz"/>
              <w:numPr>
                <w:ilvl w:val="1"/>
                <w:numId w:val="17"/>
              </w:numPr>
              <w:ind w:left="317" w:hanging="283"/>
              <w:jc w:val="both"/>
              <w:rPr>
                <w:rFonts w:cs="Arial"/>
                <w:i/>
                <w:szCs w:val="20"/>
                <w:highlight w:val="lightGray"/>
              </w:rPr>
            </w:pPr>
            <w:r w:rsidRPr="006236F5">
              <w:rPr>
                <w:rFonts w:cs="Arial"/>
                <w:i/>
                <w:szCs w:val="20"/>
                <w:highlight w:val="lightGray"/>
              </w:rPr>
              <w:t>Die internen Regelungen, Systeme und Verfahren sind geeignet und stehen in einem angemessenen Verhältnis zu Umfang, Grösse und Art ihrer Geschäftstätigkeit, werden regelmässig zumindest durch jährliche Audits und interne Überprüfungen bewertet und werden gegebenenfalls aktualisiert sowie und diese werden samt deren Änderungen und Aktualisierungen schriftlich dokumentiert und die dokumentierten Informationen werden für einen Zeitraum von fünf Jahren aufbewahrt. Dazu gehört, dass die Geschäftsleitung häufig, mindestens aber einmal jährlich, schriftliche Berichte der internen Revision zu den Ergebnissen der internen Verfahren zur Adressierung von Marktmanipulation und Insiderhandel erhält, in denen insbesondere hinreichend detailliert angegeben wird, ob zur Behebung etwaiger Mängel geeignete Massnahmen getroffen wurden. (Art. 2 Abs. 5 Bst. a DelVO (EU) 2016/957)</w:t>
            </w:r>
          </w:p>
          <w:p w14:paraId="1CFE7A83" w14:textId="77777777" w:rsidR="00C57CE8" w:rsidRPr="006236F5" w:rsidRDefault="00C57CE8" w:rsidP="006236F5">
            <w:pPr>
              <w:pStyle w:val="Listenabsatz"/>
              <w:numPr>
                <w:ilvl w:val="1"/>
                <w:numId w:val="17"/>
              </w:numPr>
              <w:ind w:left="317" w:hanging="283"/>
              <w:jc w:val="both"/>
              <w:rPr>
                <w:rFonts w:cs="Arial"/>
                <w:i/>
                <w:szCs w:val="20"/>
                <w:highlight w:val="lightGray"/>
              </w:rPr>
            </w:pPr>
            <w:r w:rsidRPr="00C51B42">
              <w:rPr>
                <w:rFonts w:cs="Arial"/>
                <w:i/>
                <w:szCs w:val="20"/>
                <w:highlight w:val="lightGray"/>
              </w:rPr>
              <w:t xml:space="preserve">Die internen Regelungen, Systeme und Verfahren ermöglichen einzelne und vergleichende Untersuchungen zu allen innerhalb der </w:t>
            </w:r>
            <w:r w:rsidRPr="00C51B42">
              <w:rPr>
                <w:rFonts w:cs="Arial"/>
                <w:i/>
                <w:szCs w:val="20"/>
                <w:highlight w:val="lightGray"/>
              </w:rPr>
              <w:lastRenderedPageBreak/>
              <w:t>Systeme des Handelsplatzes und auch ausserhalb eines Handelsplatzes ausgeführten Geschäften und erteilten, geänderten, stornierten oder abgelehnten Aufträgen und decken das gesamte Spektrum der Handelsaktivitäten ab sowie produzieren Warnmeldungen, mit denen Tätigkeiten angezeigt werden, die weitere Untersuchungen für die Zwecke der Aufdeckung von Insidergeschäften oder Marktmanipulation oder des Versuchs hierzu erforderlich machen (Art. 3 Abs. 1</w:t>
            </w:r>
            <w:r w:rsidRPr="006236F5">
              <w:rPr>
                <w:rFonts w:cs="Arial"/>
                <w:i/>
                <w:szCs w:val="20"/>
                <w:highlight w:val="lightGray"/>
              </w:rPr>
              <w:t xml:space="preserve"> DelVO (EU) 2016/957)</w:t>
            </w:r>
          </w:p>
          <w:p w14:paraId="69AEBA8B" w14:textId="77777777" w:rsidR="00C57CE8" w:rsidRDefault="00C57CE8" w:rsidP="006236F5">
            <w:pPr>
              <w:pStyle w:val="Listenabsatz"/>
              <w:numPr>
                <w:ilvl w:val="1"/>
                <w:numId w:val="17"/>
              </w:numPr>
              <w:ind w:left="317" w:hanging="283"/>
              <w:jc w:val="both"/>
              <w:rPr>
                <w:rFonts w:cs="Arial"/>
                <w:i/>
                <w:szCs w:val="20"/>
                <w:highlight w:val="lightGray"/>
              </w:rPr>
            </w:pPr>
            <w:r>
              <w:rPr>
                <w:rFonts w:cs="Arial"/>
                <w:i/>
                <w:szCs w:val="20"/>
                <w:highlight w:val="lightGray"/>
              </w:rPr>
              <w:t>Die</w:t>
            </w:r>
            <w:r w:rsidRPr="006236F5">
              <w:rPr>
                <w:rFonts w:cs="Arial"/>
                <w:i/>
                <w:szCs w:val="20"/>
                <w:highlight w:val="lightGray"/>
              </w:rPr>
              <w:t xml:space="preserve"> internen Regelungen und Verfahren gewährleisten, dass bei der Überwachung, Aufdeckung und Identifizierung von Geschäften und Aufträgen, die Insidergeschäfte, Marktmanipulation oder versuchte Insidergeschäfte bzw. versuchte Marktmanipulation darstellen könnten, in angemessenem Umfang personelle Untersuchungen vorgenommen werden. (Art. 3 Abs. 4 DelVO (EU) 2016/957)</w:t>
            </w:r>
          </w:p>
          <w:p w14:paraId="6F376738" w14:textId="77777777" w:rsidR="00C57CE8" w:rsidRDefault="00C57CE8" w:rsidP="006236F5">
            <w:pPr>
              <w:pStyle w:val="Listenabsatz"/>
              <w:numPr>
                <w:ilvl w:val="1"/>
                <w:numId w:val="17"/>
              </w:numPr>
              <w:ind w:left="317" w:hanging="283"/>
              <w:jc w:val="both"/>
              <w:rPr>
                <w:rFonts w:cs="Arial"/>
                <w:i/>
                <w:szCs w:val="20"/>
                <w:highlight w:val="lightGray"/>
              </w:rPr>
            </w:pPr>
            <w:r w:rsidRPr="00A320C1">
              <w:rPr>
                <w:rFonts w:cs="Arial"/>
                <w:i/>
                <w:szCs w:val="20"/>
                <w:highlight w:val="lightGray"/>
              </w:rPr>
              <w:t>S</w:t>
            </w:r>
            <w:r w:rsidRPr="006236F5">
              <w:rPr>
                <w:rFonts w:cs="Arial"/>
                <w:i/>
                <w:szCs w:val="20"/>
                <w:highlight w:val="lightGray"/>
              </w:rPr>
              <w:t xml:space="preserve">ofern die Wahrnehmung der Aufgaben im Zusammenhang mit der Überwachung, Aufdeckung und Identifizierung von Aufträgen und Geschäften auf eine juristische </w:t>
            </w:r>
            <w:r w:rsidRPr="006970B6">
              <w:rPr>
                <w:rFonts w:cs="Arial"/>
                <w:i/>
                <w:szCs w:val="20"/>
                <w:highlight w:val="lightGray"/>
              </w:rPr>
              <w:t>Person derselben</w:t>
            </w:r>
            <w:r w:rsidRPr="006236F5">
              <w:rPr>
                <w:rFonts w:cs="Arial"/>
                <w:i/>
                <w:szCs w:val="20"/>
                <w:highlight w:val="lightGray"/>
              </w:rPr>
              <w:t xml:space="preserve"> Gruppe ausgelagert werden,</w:t>
            </w:r>
            <w:r w:rsidRPr="00A320C1">
              <w:rPr>
                <w:rFonts w:cs="Arial"/>
                <w:i/>
                <w:szCs w:val="20"/>
                <w:highlight w:val="lightGray"/>
              </w:rPr>
              <w:t xml:space="preserve"> ist sichergestellt worden, dass </w:t>
            </w:r>
            <w:r w:rsidRPr="006236F5">
              <w:rPr>
                <w:rFonts w:cs="Arial"/>
                <w:i/>
                <w:szCs w:val="20"/>
                <w:highlight w:val="lightGray"/>
              </w:rPr>
              <w:t xml:space="preserve">dies im Wege einer schriftlichen Vereinbarung erfolgt und </w:t>
            </w:r>
            <w:r w:rsidRPr="00A320C1">
              <w:rPr>
                <w:rFonts w:cs="Arial"/>
                <w:i/>
                <w:szCs w:val="20"/>
                <w:highlight w:val="lightGray"/>
              </w:rPr>
              <w:t>sind</w:t>
            </w:r>
            <w:r w:rsidRPr="006236F5">
              <w:rPr>
                <w:rFonts w:cs="Arial"/>
                <w:i/>
                <w:szCs w:val="20"/>
                <w:highlight w:val="lightGray"/>
              </w:rPr>
              <w:t xml:space="preserve"> die Regelung eindeutig dokumentiert und die Aufgaben und Verantwortlichkeiten zugewiesen und abgestimmt, einschließlich der Dauer der Übertragung</w:t>
            </w:r>
            <w:r w:rsidRPr="00A320C1">
              <w:rPr>
                <w:rFonts w:cs="Arial"/>
                <w:i/>
                <w:szCs w:val="20"/>
                <w:highlight w:val="lightGray"/>
              </w:rPr>
              <w:t xml:space="preserve">. Sofern </w:t>
            </w:r>
            <w:r w:rsidRPr="006236F5">
              <w:rPr>
                <w:rFonts w:cs="Arial"/>
                <w:i/>
                <w:szCs w:val="20"/>
                <w:highlight w:val="lightGray"/>
              </w:rPr>
              <w:t xml:space="preserve">die Analyse von Daten, einschliesslich von Order- und Geschäftsdaten, und die Erstellung der Warnmeldungen, im Wege einer schriftlichen Vereinbarung auf einen Dritten übertragen werden, </w:t>
            </w:r>
            <w:r w:rsidRPr="00A320C1">
              <w:rPr>
                <w:rFonts w:cs="Arial"/>
                <w:i/>
                <w:szCs w:val="20"/>
                <w:highlight w:val="lightGray"/>
              </w:rPr>
              <w:t xml:space="preserve">ist dafür gesorgt worden, dass </w:t>
            </w:r>
            <w:r w:rsidRPr="006236F5">
              <w:rPr>
                <w:rFonts w:cs="Arial"/>
                <w:i/>
                <w:szCs w:val="20"/>
                <w:highlight w:val="lightGray"/>
              </w:rPr>
              <w:t>die Erhaltung der Fachkenntnisse und der Ressourcen, die erforderlich sind, um die Qualität der erbrachten Dienstleistungen sowie die Angemessenheit der Organisationsstruktur der Anbieter zu bewerten, die Aufsicht über übertragene Dienste auszuüben und die mit der Übertragung verbundenen Risiken kontinuierlich zu steuern, und unmittelbaren Zugang zu allen relevanten Informationen betreffend die Datenanalyse und die Erstellung von Warnmeldungen besteht sowie die die schriftliche Vereinbarung die Beschreibung der Rechte und Pflichten der Person, die eine Übertragung der in Unterabsatz 1 genannten Aufgaben vornimmt, sowie die Rechte und Pflichten des Anbieters enthält. Ausserdem ist angegeben, bei Vorliegen welcher Gründe die Person, die die Aufgaben überträgt, die Vereinbarung kündigen kann. (Art. 3 Abs. 6 und 7 DelVO (EU) 2016/957)</w:t>
            </w:r>
          </w:p>
          <w:p w14:paraId="3B7FD1CB" w14:textId="77777777" w:rsidR="00C57CE8" w:rsidRPr="006236F5" w:rsidRDefault="00C57CE8" w:rsidP="006236F5">
            <w:pPr>
              <w:pStyle w:val="Listenabsatz"/>
              <w:numPr>
                <w:ilvl w:val="1"/>
                <w:numId w:val="17"/>
              </w:numPr>
              <w:ind w:left="317" w:hanging="283"/>
              <w:jc w:val="both"/>
              <w:rPr>
                <w:rFonts w:cs="Arial"/>
                <w:i/>
                <w:szCs w:val="20"/>
                <w:highlight w:val="lightGray"/>
              </w:rPr>
            </w:pPr>
            <w:r>
              <w:rPr>
                <w:rFonts w:cs="Arial"/>
                <w:i/>
                <w:szCs w:val="20"/>
                <w:highlight w:val="lightGray"/>
              </w:rPr>
              <w:t>Die</w:t>
            </w:r>
            <w:r w:rsidRPr="00FF15E4">
              <w:rPr>
                <w:rFonts w:cs="Arial"/>
                <w:i/>
                <w:szCs w:val="20"/>
                <w:highlight w:val="lightGray"/>
              </w:rPr>
              <w:t xml:space="preserve"> internen Regelungen</w:t>
            </w:r>
            <w:r>
              <w:rPr>
                <w:rFonts w:cs="Arial"/>
                <w:i/>
                <w:szCs w:val="20"/>
                <w:highlight w:val="lightGray"/>
              </w:rPr>
              <w:t>, Systeme</w:t>
            </w:r>
            <w:r w:rsidRPr="00FF15E4">
              <w:rPr>
                <w:rFonts w:cs="Arial"/>
                <w:i/>
                <w:szCs w:val="20"/>
                <w:highlight w:val="lightGray"/>
              </w:rPr>
              <w:t xml:space="preserve"> und Verfahren</w:t>
            </w:r>
            <w:r w:rsidRPr="006236F5">
              <w:rPr>
                <w:rFonts w:cs="Arial"/>
                <w:i/>
                <w:szCs w:val="20"/>
                <w:highlight w:val="lightGray"/>
              </w:rPr>
              <w:t xml:space="preserve"> stellen sicher, dass die Informationen, die die in Bezug auf Aufträge und Geschäfte, die Insidergeschäfte, Marktmanipulation oder versuchte Insidergeschäfte bzw. versuchte Marktmanipulation sein könnten, durchgeführten Untersuchungen belegen und die Gründe für die Übermittlung oder Nichtübermittlung einer Verdachtsmeldung ausweisen, für einen Zeitraum von fünf Jahren aufbewahrt werden. (Art. 3 Abs. 8 DelVO (EU) 2016/957)</w:t>
            </w:r>
          </w:p>
          <w:p w14:paraId="31A03BBA" w14:textId="77777777" w:rsidR="00C57CE8" w:rsidRDefault="00C57CE8" w:rsidP="006236F5">
            <w:pPr>
              <w:pStyle w:val="Listenabsatz"/>
              <w:numPr>
                <w:ilvl w:val="1"/>
                <w:numId w:val="17"/>
              </w:numPr>
              <w:ind w:left="317" w:hanging="283"/>
              <w:jc w:val="both"/>
              <w:rPr>
                <w:rFonts w:cs="Arial"/>
                <w:i/>
                <w:szCs w:val="20"/>
                <w:highlight w:val="lightGray"/>
              </w:rPr>
            </w:pPr>
            <w:r w:rsidRPr="00485583">
              <w:rPr>
                <w:rFonts w:cs="Arial"/>
                <w:i/>
                <w:szCs w:val="20"/>
                <w:highlight w:val="lightGray"/>
              </w:rPr>
              <w:t>Die internen Regelungen und Verfahren</w:t>
            </w:r>
            <w:r w:rsidRPr="001736EB">
              <w:rPr>
                <w:rFonts w:cs="Arial"/>
                <w:i/>
                <w:szCs w:val="20"/>
                <w:highlight w:val="lightGray"/>
              </w:rPr>
              <w:t xml:space="preserve"> sehen vor, dass effiziente und umfassende Schulungsmassnahmen für das Personal, das an der Überwachung, Aufdeckung und Identifizierung von Geschäften und Aufträgen beteiligt ist, die Insidergeschäfte, Marktmanipulation bzw. den Versuch hierzu darstellen könnten, wobei auch das mit der Bearbeitung von Aufträgen und Geschäften befasste Personal mit einbezogen wird, regelmässig stattfinden und für diese Zwecke geeignet sind und in einem angemessenen Verhältnis zu Umfang, </w:t>
            </w:r>
            <w:r w:rsidRPr="001736EB">
              <w:rPr>
                <w:rFonts w:cs="Arial"/>
                <w:i/>
                <w:szCs w:val="20"/>
                <w:highlight w:val="lightGray"/>
              </w:rPr>
              <w:lastRenderedPageBreak/>
              <w:t>Größe und Art der Geschäftstätigkeit stehen. (Art. 4 Abs. 1 DelVO (EU) 2016/957)</w:t>
            </w:r>
          </w:p>
          <w:p w14:paraId="6B202662" w14:textId="77777777" w:rsidR="00C57CE8" w:rsidRPr="00FF15E4" w:rsidRDefault="00C57CE8" w:rsidP="006236F5">
            <w:pPr>
              <w:pStyle w:val="Listenabsatz"/>
              <w:numPr>
                <w:ilvl w:val="1"/>
                <w:numId w:val="17"/>
              </w:numPr>
              <w:ind w:left="317" w:hanging="283"/>
              <w:jc w:val="both"/>
              <w:rPr>
                <w:rFonts w:cs="Arial"/>
                <w:i/>
                <w:szCs w:val="20"/>
                <w:highlight w:val="lightGray"/>
              </w:rPr>
            </w:pPr>
            <w:r w:rsidRPr="006236F5">
              <w:rPr>
                <w:rFonts w:cs="Arial"/>
                <w:i/>
                <w:szCs w:val="20"/>
                <w:highlight w:val="lightGray"/>
              </w:rPr>
              <w:t>Die internen Regelungen und Verfahren stellen sicher, dass Personen, zu der die Verdachtsmeldung übermittelt wurde, oder die nicht aufgrund ihrer Funktion oder Position innerhalb der meldenden Person von der Übermittlung der Verdachtsmeldung Kenntnis haben müssen, nicht über die Verdachtsmeldung unterrichtet werden.</w:t>
            </w:r>
            <w:r>
              <w:rPr>
                <w:rFonts w:cs="Arial"/>
                <w:i/>
                <w:szCs w:val="20"/>
                <w:highlight w:val="lightGray"/>
              </w:rPr>
              <w:t xml:space="preserve"> </w:t>
            </w:r>
            <w:r w:rsidRPr="006236F5">
              <w:rPr>
                <w:rFonts w:cs="Arial"/>
                <w:i/>
                <w:szCs w:val="20"/>
                <w:highlight w:val="lightGray"/>
              </w:rPr>
              <w:t>(Art. 5 Abs. 4 DelVO (EU) 2016/957).</w:t>
            </w:r>
          </w:p>
          <w:p w14:paraId="4B6D794F" w14:textId="77777777" w:rsidR="00C57CE8" w:rsidRPr="006236F5" w:rsidRDefault="00C57CE8" w:rsidP="006236F5">
            <w:pPr>
              <w:pStyle w:val="Listenabsatz"/>
              <w:numPr>
                <w:ilvl w:val="1"/>
                <w:numId w:val="17"/>
              </w:numPr>
              <w:ind w:left="317" w:hanging="283"/>
              <w:jc w:val="both"/>
              <w:rPr>
                <w:rFonts w:cs="Arial"/>
                <w:i/>
                <w:szCs w:val="20"/>
                <w:highlight w:val="lightGray"/>
              </w:rPr>
            </w:pPr>
            <w:r w:rsidRPr="00050A26">
              <w:rPr>
                <w:rFonts w:cs="Arial"/>
                <w:i/>
                <w:szCs w:val="20"/>
                <w:highlight w:val="lightGray"/>
              </w:rPr>
              <w:t xml:space="preserve">Die internen Regelungen und Verfahren stellen sicher, dass die Personen, die die Verdachtsmeldung ausfüllen, ohne </w:t>
            </w:r>
            <w:r>
              <w:rPr>
                <w:rFonts w:cs="Arial"/>
                <w:i/>
                <w:szCs w:val="20"/>
                <w:highlight w:val="lightGray"/>
              </w:rPr>
              <w:t xml:space="preserve">dass </w:t>
            </w:r>
            <w:r w:rsidRPr="00050A26">
              <w:rPr>
                <w:rFonts w:cs="Arial"/>
                <w:i/>
                <w:szCs w:val="20"/>
                <w:highlight w:val="lightGray"/>
              </w:rPr>
              <w:t>die Person, auf die sich die Verdachtsmeldung bezieht, und andere Personen, die nicht von der bevorstehenden Übermittlung einer Verdachtsmeldung Kenntnis haben müssen, darüber unterrichte</w:t>
            </w:r>
            <w:r>
              <w:rPr>
                <w:rFonts w:cs="Arial"/>
                <w:i/>
                <w:szCs w:val="20"/>
                <w:highlight w:val="lightGray"/>
              </w:rPr>
              <w:t>t werden</w:t>
            </w:r>
            <w:r w:rsidRPr="00050A26">
              <w:rPr>
                <w:rFonts w:cs="Arial"/>
                <w:i/>
                <w:szCs w:val="20"/>
                <w:highlight w:val="lightGray"/>
              </w:rPr>
              <w:t xml:space="preserve">. </w:t>
            </w:r>
            <w:r w:rsidRPr="006236F5">
              <w:rPr>
                <w:rFonts w:cs="Arial"/>
                <w:i/>
                <w:szCs w:val="20"/>
                <w:highlight w:val="lightGray"/>
              </w:rPr>
              <w:t>(Art. 5 Abs. 5 DelVO (EU) 2016/957).</w:t>
            </w:r>
            <w:r>
              <w:rPr>
                <w:rFonts w:cs="Arial"/>
                <w:i/>
                <w:szCs w:val="20"/>
                <w:highlight w:val="lightGray"/>
              </w:rPr>
              <w:t xml:space="preserve"> </w:t>
            </w:r>
          </w:p>
          <w:p w14:paraId="41D3A158" w14:textId="77777777" w:rsidR="00C57CE8" w:rsidRPr="00E16A89" w:rsidRDefault="00C57CE8" w:rsidP="006236F5">
            <w:pPr>
              <w:pStyle w:val="Listenabsatz"/>
              <w:numPr>
                <w:ilvl w:val="1"/>
                <w:numId w:val="17"/>
              </w:numPr>
              <w:ind w:left="317" w:hanging="283"/>
              <w:jc w:val="both"/>
              <w:rPr>
                <w:rFonts w:cs="Arial"/>
                <w:i/>
                <w:szCs w:val="20"/>
                <w:highlight w:val="lightGray"/>
              </w:rPr>
            </w:pPr>
            <w:r w:rsidRPr="006236F5">
              <w:rPr>
                <w:rFonts w:cs="Arial"/>
                <w:i/>
                <w:szCs w:val="20"/>
                <w:highlight w:val="lightGray"/>
              </w:rPr>
              <w:t xml:space="preserve">Die internen </w:t>
            </w:r>
            <w:r w:rsidRPr="00E16A89">
              <w:rPr>
                <w:rFonts w:cs="Arial"/>
                <w:i/>
                <w:szCs w:val="20"/>
                <w:highlight w:val="lightGray"/>
              </w:rPr>
              <w:t xml:space="preserve">Regelungen, Systeme und Verfahren stellen sicher, dass </w:t>
            </w:r>
            <w:r w:rsidRPr="001736EB">
              <w:rPr>
                <w:rFonts w:cs="Arial"/>
                <w:i/>
                <w:szCs w:val="20"/>
                <w:highlight w:val="lightGray"/>
              </w:rPr>
              <w:t>bei Vorliegen eines begründeten Verdachts auf Insidergeschäft, Marktmanipulation bzw. den Versuch hierzu unverzüglich eine Verdachtsmeldung an die zuständigen Behörden übermittelt wird</w:t>
            </w:r>
            <w:r w:rsidRPr="00E16A89">
              <w:rPr>
                <w:rFonts w:cs="Arial"/>
                <w:i/>
                <w:szCs w:val="20"/>
                <w:highlight w:val="lightGray"/>
              </w:rPr>
              <w:t>. (Art. 2 Abs. 1 Bst. b und Art. 5 und 6 DelVO (EU) 2016/957</w:t>
            </w:r>
            <w:r w:rsidRPr="001736EB">
              <w:rPr>
                <w:rFonts w:cs="Arial"/>
                <w:i/>
                <w:szCs w:val="20"/>
                <w:highlight w:val="lightGray"/>
              </w:rPr>
              <w:t xml:space="preserve"> bzw. </w:t>
            </w:r>
            <w:r w:rsidRPr="00E16A89">
              <w:rPr>
                <w:rFonts w:cs="Arial"/>
                <w:sz w:val="18"/>
                <w:szCs w:val="18"/>
                <w:highlight w:val="lightGray"/>
              </w:rPr>
              <w:t>Art. 92 Abs. 1 Satz 2 VO (EU) 2023/1114</w:t>
            </w:r>
            <w:r w:rsidRPr="00E16A89">
              <w:rPr>
                <w:rFonts w:cs="Arial"/>
                <w:i/>
                <w:szCs w:val="20"/>
                <w:highlight w:val="lightGray"/>
              </w:rPr>
              <w:t>)</w:t>
            </w:r>
          </w:p>
          <w:p w14:paraId="6EE1780B" w14:textId="77777777" w:rsidR="00C57CE8" w:rsidRPr="00FF15E4" w:rsidRDefault="00C57CE8" w:rsidP="006236F5">
            <w:pPr>
              <w:pStyle w:val="Listenabsatz"/>
              <w:numPr>
                <w:ilvl w:val="1"/>
                <w:numId w:val="17"/>
              </w:numPr>
              <w:ind w:left="317" w:hanging="283"/>
              <w:jc w:val="both"/>
              <w:rPr>
                <w:rFonts w:cs="Arial"/>
                <w:i/>
                <w:szCs w:val="20"/>
                <w:highlight w:val="lightGray"/>
              </w:rPr>
            </w:pPr>
            <w:r w:rsidRPr="00FF15E4">
              <w:rPr>
                <w:rFonts w:cs="Arial"/>
                <w:i/>
                <w:szCs w:val="20"/>
                <w:highlight w:val="lightGray"/>
              </w:rPr>
              <w:t>Die internen Regelungen und Verfahren stellen sicher, dass die im Rahmen einer Verdachtsmeldung übermittelten Informationen auf Tatsachen und Untersuchungen basieren und alle zur Verfügung stehenden Informationen berücksichtigt wurden.</w:t>
            </w:r>
            <w:r>
              <w:rPr>
                <w:rFonts w:cs="Arial"/>
                <w:i/>
                <w:szCs w:val="20"/>
                <w:highlight w:val="lightGray"/>
              </w:rPr>
              <w:t xml:space="preserve"> </w:t>
            </w:r>
            <w:r w:rsidRPr="00E16A89">
              <w:rPr>
                <w:rFonts w:cs="Arial"/>
                <w:i/>
                <w:szCs w:val="20"/>
                <w:highlight w:val="lightGray"/>
              </w:rPr>
              <w:t>(Art. 5 Abs. 3 DelVO (EU) 2016/957).</w:t>
            </w:r>
          </w:p>
          <w:p w14:paraId="5AC73E59" w14:textId="77777777" w:rsidR="00C57CE8" w:rsidRPr="001736EB" w:rsidRDefault="00C57CE8" w:rsidP="006236F5">
            <w:pPr>
              <w:pStyle w:val="Listenabsatz"/>
              <w:numPr>
                <w:ilvl w:val="1"/>
                <w:numId w:val="17"/>
              </w:numPr>
              <w:ind w:left="317" w:hanging="283"/>
              <w:jc w:val="both"/>
              <w:rPr>
                <w:rFonts w:cs="Arial"/>
                <w:i/>
                <w:szCs w:val="20"/>
                <w:highlight w:val="lightGray"/>
              </w:rPr>
            </w:pPr>
            <w:r w:rsidRPr="00FF15E4">
              <w:rPr>
                <w:rFonts w:cs="Arial"/>
                <w:i/>
                <w:szCs w:val="20"/>
                <w:highlight w:val="lightGray"/>
              </w:rPr>
              <w:t>Die internen Regelungen und Verfahren stellen sicher,</w:t>
            </w:r>
            <w:r w:rsidRPr="001736EB">
              <w:rPr>
                <w:rFonts w:cs="Arial"/>
                <w:i/>
                <w:szCs w:val="20"/>
                <w:highlight w:val="lightGray"/>
              </w:rPr>
              <w:t xml:space="preserve"> dass bei Verdachtsmeldungen alle im Meldetemplate angeforderten Angaben samt allen zur Verfügung stehenden Informationen und Unterlagen einschliesslich aller Belege und unter Verwendung der von der zuständigen Behörde angegebenen elektronischen Mittel übermittelt werden (Art. 7 und 8 DelVO (EU) 2016/957)</w:t>
            </w:r>
          </w:p>
          <w:p w14:paraId="28AFBC04" w14:textId="77777777" w:rsidR="00C57CE8" w:rsidRPr="00BB36AC" w:rsidRDefault="00C57CE8" w:rsidP="006236F5">
            <w:pPr>
              <w:pStyle w:val="Listenabsatz"/>
              <w:ind w:left="317"/>
              <w:jc w:val="both"/>
              <w:rPr>
                <w:rFonts w:cs="Arial"/>
                <w:i/>
                <w:szCs w:val="20"/>
                <w:highlight w:val="lightGray"/>
              </w:rPr>
            </w:pPr>
            <w:r w:rsidRPr="00BB36AC">
              <w:rPr>
                <w:rFonts w:cs="Arial"/>
                <w:i/>
                <w:szCs w:val="20"/>
                <w:highlight w:val="lightGray"/>
              </w:rPr>
              <w:t xml:space="preserve">Die internen </w:t>
            </w:r>
            <w:r w:rsidRPr="006236F5">
              <w:rPr>
                <w:rFonts w:cs="Arial"/>
                <w:i/>
                <w:szCs w:val="20"/>
                <w:highlight w:val="lightGray"/>
              </w:rPr>
              <w:t xml:space="preserve">Regelungen, Systeme und </w:t>
            </w:r>
            <w:r w:rsidRPr="00BB36AC">
              <w:rPr>
                <w:rFonts w:cs="Arial"/>
                <w:i/>
                <w:szCs w:val="20"/>
                <w:highlight w:val="lightGray"/>
              </w:rPr>
              <w:t>Verfahren stellen sicher, dass</w:t>
            </w:r>
            <w:r w:rsidRPr="006236F5">
              <w:rPr>
                <w:rFonts w:cs="Arial"/>
                <w:i/>
                <w:szCs w:val="20"/>
                <w:highlight w:val="lightGray"/>
              </w:rPr>
              <w:t xml:space="preserve"> bei Folgeereignissen oder späteren Informationen die Möglichkeit der Übermittlung von Verdachtsmeldungen in Bezug auf Geschäfte und Aufträge aus der Vergangenheit besteht und der zuständigen Behörde in der Verdachtsmeldung die zeitliche Verzögerung zwischen dem mutmaßlichen Versto</w:t>
            </w:r>
            <w:r>
              <w:rPr>
                <w:rFonts w:cs="Arial"/>
                <w:i/>
                <w:szCs w:val="20"/>
                <w:highlight w:val="lightGray"/>
              </w:rPr>
              <w:t>ss</w:t>
            </w:r>
            <w:r w:rsidRPr="006236F5">
              <w:rPr>
                <w:rFonts w:cs="Arial"/>
                <w:i/>
                <w:szCs w:val="20"/>
                <w:highlight w:val="lightGray"/>
              </w:rPr>
              <w:t xml:space="preserve"> und der Übermittlung der Verdachtsmeldung unter Bezugnahme auf die spezifischen Umstände des Falls erläutert werden. (</w:t>
            </w:r>
            <w:r w:rsidRPr="00FF15E4">
              <w:rPr>
                <w:rFonts w:cs="Arial"/>
                <w:i/>
                <w:szCs w:val="20"/>
                <w:highlight w:val="lightGray"/>
              </w:rPr>
              <w:t xml:space="preserve">Art. </w:t>
            </w:r>
            <w:r>
              <w:rPr>
                <w:rFonts w:cs="Arial"/>
                <w:i/>
                <w:szCs w:val="20"/>
                <w:highlight w:val="lightGray"/>
              </w:rPr>
              <w:t>6 Abs. 2</w:t>
            </w:r>
            <w:r w:rsidRPr="00FF15E4">
              <w:rPr>
                <w:rFonts w:cs="Arial"/>
                <w:i/>
                <w:szCs w:val="20"/>
                <w:highlight w:val="lightGray"/>
              </w:rPr>
              <w:t xml:space="preserve"> DelVO (EU) 2016/957)</w:t>
            </w:r>
          </w:p>
        </w:tc>
      </w:tr>
    </w:tbl>
    <w:p w14:paraId="619154E4" w14:textId="77777777" w:rsidR="00C57CE8" w:rsidRDefault="00C57CE8" w:rsidP="00C57CE8">
      <w:pPr>
        <w:jc w:val="both"/>
      </w:pPr>
    </w:p>
    <w:p w14:paraId="1F729A5A" w14:textId="77777777" w:rsidR="00C57CE8" w:rsidRDefault="00C57CE8" w:rsidP="00C57CE8">
      <w:pPr>
        <w:jc w:val="both"/>
      </w:pPr>
      <w:r w:rsidRPr="00276C60">
        <w:rPr>
          <w:rFonts w:ascii="Arial" w:hAnsi="Arial" w:cs="Arial"/>
          <w:i/>
          <w:sz w:val="20"/>
          <w:szCs w:val="20"/>
          <w:highlight w:val="yellow"/>
        </w:rPr>
        <w:t>Text</w:t>
      </w:r>
    </w:p>
    <w:p w14:paraId="17AA31D5" w14:textId="77777777" w:rsidR="00C57CE8" w:rsidRDefault="00C57CE8" w:rsidP="00636495">
      <w:pPr>
        <w:jc w:val="both"/>
      </w:pPr>
    </w:p>
    <w:p w14:paraId="5B9A6700" w14:textId="77777777" w:rsidR="00C57CE8" w:rsidRDefault="00C57CE8" w:rsidP="00636495">
      <w:pPr>
        <w:jc w:val="both"/>
      </w:pPr>
    </w:p>
    <w:p w14:paraId="7502539B" w14:textId="370313BA" w:rsidR="001605C4" w:rsidRDefault="001629CE" w:rsidP="001605C4">
      <w:pPr>
        <w:pStyle w:val="FINMAGliederungEbene2"/>
      </w:pPr>
      <w:bookmarkStart w:id="84" w:name="_Toc216425825"/>
      <w:r>
        <w:t>Prüfresultate der bewilligten (gemischten) Finanzholdinggesellschaft auf Einzelbasis</w:t>
      </w:r>
      <w:bookmarkEnd w:id="84"/>
    </w:p>
    <w:p w14:paraId="4E8747A1" w14:textId="04822031" w:rsidR="001605C4" w:rsidRDefault="001605C4" w:rsidP="00636495">
      <w:pPr>
        <w:jc w:val="both"/>
      </w:pPr>
    </w:p>
    <w:p w14:paraId="0F19A7AF" w14:textId="2AFFF3B2" w:rsidR="005573E0" w:rsidRPr="00E55E3C" w:rsidRDefault="005573E0" w:rsidP="00636495">
      <w:pPr>
        <w:jc w:val="both"/>
        <w:rPr>
          <w:rFonts w:ascii="Arial" w:hAnsi="Arial" w:cs="Arial"/>
          <w:i/>
          <w:sz w:val="20"/>
          <w:szCs w:val="20"/>
        </w:rPr>
      </w:pPr>
      <w:r w:rsidRPr="00E55E3C">
        <w:rPr>
          <w:rFonts w:ascii="Arial" w:hAnsi="Arial" w:cs="Arial"/>
          <w:i/>
          <w:sz w:val="20"/>
          <w:szCs w:val="20"/>
          <w:highlight w:val="yellow"/>
        </w:rPr>
        <w:t xml:space="preserve">Die nachfolgenden Prüffelder sind nur dann zu prüfen, wenn eine (gemischte) Finanzholdinggesellschaft </w:t>
      </w:r>
      <w:r w:rsidR="009B7A8A">
        <w:rPr>
          <w:rFonts w:ascii="Arial" w:hAnsi="Arial" w:cs="Arial"/>
          <w:i/>
          <w:sz w:val="20"/>
          <w:szCs w:val="20"/>
          <w:highlight w:val="yellow"/>
        </w:rPr>
        <w:t xml:space="preserve">mit einer Bewilligung nach Art. </w:t>
      </w:r>
      <w:r w:rsidR="00387000">
        <w:rPr>
          <w:rFonts w:ascii="Arial" w:hAnsi="Arial" w:cs="Arial"/>
          <w:i/>
          <w:sz w:val="20"/>
          <w:szCs w:val="20"/>
          <w:highlight w:val="yellow"/>
        </w:rPr>
        <w:t xml:space="preserve">26 </w:t>
      </w:r>
      <w:r w:rsidR="00D71E0B">
        <w:rPr>
          <w:rFonts w:ascii="Arial" w:hAnsi="Arial" w:cs="Arial"/>
          <w:i/>
          <w:sz w:val="20"/>
          <w:szCs w:val="20"/>
          <w:highlight w:val="yellow"/>
        </w:rPr>
        <w:t xml:space="preserve">BankG </w:t>
      </w:r>
      <w:r w:rsidRPr="00E55E3C">
        <w:rPr>
          <w:rFonts w:ascii="Arial" w:hAnsi="Arial" w:cs="Arial"/>
          <w:i/>
          <w:sz w:val="20"/>
          <w:szCs w:val="20"/>
          <w:highlight w:val="yellow"/>
        </w:rPr>
        <w:t>vorliegt.</w:t>
      </w:r>
      <w:r w:rsidRPr="00E55E3C">
        <w:rPr>
          <w:rFonts w:ascii="Arial" w:hAnsi="Arial" w:cs="Arial"/>
          <w:i/>
          <w:sz w:val="20"/>
          <w:szCs w:val="20"/>
        </w:rPr>
        <w:t xml:space="preserve"> </w:t>
      </w:r>
    </w:p>
    <w:p w14:paraId="1E4C911D" w14:textId="77777777" w:rsidR="005573E0" w:rsidRDefault="005573E0" w:rsidP="00636495">
      <w:pPr>
        <w:jc w:val="both"/>
      </w:pPr>
    </w:p>
    <w:p w14:paraId="177063AD" w14:textId="5FE1C4C5" w:rsidR="006D37A3" w:rsidRDefault="006D37A3" w:rsidP="006D37A3">
      <w:pPr>
        <w:pStyle w:val="FINMAGliederungEbene3"/>
      </w:pPr>
      <w:bookmarkStart w:id="85" w:name="_Toc216425826"/>
      <w:r>
        <w:t>Gruppeninterne Steuerung &amp; Koordination</w:t>
      </w:r>
      <w:bookmarkEnd w:id="85"/>
    </w:p>
    <w:p w14:paraId="7B801971" w14:textId="77777777" w:rsidR="006D37A3" w:rsidRDefault="006D37A3" w:rsidP="00636495">
      <w:pPr>
        <w:jc w:val="both"/>
      </w:pPr>
    </w:p>
    <w:tbl>
      <w:tblPr>
        <w:tblStyle w:val="Tabellenraster"/>
        <w:tblW w:w="0" w:type="auto"/>
        <w:tblLook w:val="04A0" w:firstRow="1" w:lastRow="0" w:firstColumn="1" w:lastColumn="0" w:noHBand="0" w:noVBand="1"/>
      </w:tblPr>
      <w:tblGrid>
        <w:gridCol w:w="1932"/>
        <w:gridCol w:w="2145"/>
        <w:gridCol w:w="1721"/>
        <w:gridCol w:w="3382"/>
      </w:tblGrid>
      <w:tr w:rsidR="001629CE" w:rsidRPr="009872F3" w14:paraId="4F5905D1" w14:textId="77777777" w:rsidTr="009B7A8A">
        <w:trPr>
          <w:trHeight w:val="563"/>
        </w:trPr>
        <w:tc>
          <w:tcPr>
            <w:tcW w:w="1932" w:type="dxa"/>
          </w:tcPr>
          <w:p w14:paraId="18040798"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lastRenderedPageBreak/>
              <w:t>Nettorisiko</w:t>
            </w:r>
          </w:p>
        </w:tc>
        <w:tc>
          <w:tcPr>
            <w:tcW w:w="2145" w:type="dxa"/>
          </w:tcPr>
          <w:p w14:paraId="6DA4059E"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48786F77"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1629CE" w:rsidRPr="009872F3" w14:paraId="329A63BA" w14:textId="77777777" w:rsidTr="009B7A8A">
        <w:trPr>
          <w:trHeight w:val="698"/>
        </w:trPr>
        <w:tc>
          <w:tcPr>
            <w:tcW w:w="1932" w:type="dxa"/>
          </w:tcPr>
          <w:p w14:paraId="2540F7BF" w14:textId="77777777" w:rsidR="001629CE" w:rsidRPr="006749F0" w:rsidRDefault="001629CE"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486D258A" w14:textId="77777777" w:rsidR="001629CE" w:rsidRPr="006749F0" w:rsidRDefault="001629CE" w:rsidP="009B7A8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1E460018" w14:textId="77777777" w:rsidR="001629CE" w:rsidRPr="009872F3" w:rsidRDefault="001629CE" w:rsidP="009B7A8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7E7E4DD7" w14:textId="77777777" w:rsidR="001629CE" w:rsidRDefault="001629CE" w:rsidP="009B7A8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4E7D28FD" w14:textId="77777777" w:rsidR="001629CE" w:rsidRPr="006749F0" w:rsidRDefault="001629CE" w:rsidP="009B7A8A">
            <w:pPr>
              <w:jc w:val="both"/>
              <w:rPr>
                <w:rFonts w:ascii="Arial" w:hAnsi="Arial" w:cs="Arial"/>
                <w:i/>
                <w:sz w:val="18"/>
                <w:szCs w:val="18"/>
              </w:rPr>
            </w:pPr>
            <w:r w:rsidRPr="006749F0">
              <w:rPr>
                <w:rFonts w:ascii="Arial" w:hAnsi="Arial" w:cs="Arial"/>
                <w:i/>
                <w:sz w:val="18"/>
                <w:szCs w:val="18"/>
                <w:highlight w:val="yellow"/>
              </w:rPr>
              <w:t>Jahr</w:t>
            </w:r>
          </w:p>
        </w:tc>
      </w:tr>
      <w:tr w:rsidR="001629CE" w:rsidRPr="00810FF6" w14:paraId="25D39C87" w14:textId="77777777" w:rsidTr="009B7A8A">
        <w:trPr>
          <w:trHeight w:val="133"/>
        </w:trPr>
        <w:tc>
          <w:tcPr>
            <w:tcW w:w="9180" w:type="dxa"/>
            <w:gridSpan w:val="4"/>
          </w:tcPr>
          <w:p w14:paraId="67F0AD09" w14:textId="77777777" w:rsidR="001629CE" w:rsidRDefault="001629CE" w:rsidP="009B7A8A">
            <w:pPr>
              <w:jc w:val="both"/>
              <w:rPr>
                <w:rFonts w:ascii="Arial" w:hAnsi="Arial" w:cs="Arial"/>
                <w:sz w:val="18"/>
                <w:szCs w:val="18"/>
              </w:rPr>
            </w:pPr>
          </w:p>
          <w:p w14:paraId="172B23A4" w14:textId="77777777" w:rsidR="001629CE" w:rsidRPr="00F60909" w:rsidRDefault="001629CE"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D02F73C" w14:textId="3D8DAC00" w:rsidR="001629CE" w:rsidRPr="00287F87" w:rsidRDefault="001629CE" w:rsidP="009B7A8A">
            <w:pPr>
              <w:jc w:val="both"/>
              <w:rPr>
                <w:rFonts w:ascii="Arial" w:hAnsi="Arial" w:cs="Arial"/>
                <w:sz w:val="18"/>
                <w:szCs w:val="18"/>
              </w:rPr>
            </w:pPr>
            <w:r w:rsidRPr="00287F87">
              <w:rPr>
                <w:rFonts w:ascii="Arial" w:hAnsi="Arial" w:cs="Arial"/>
                <w:sz w:val="18"/>
                <w:szCs w:val="18"/>
                <w:highlight w:val="yellow"/>
              </w:rPr>
              <w:t xml:space="preserve">Art </w:t>
            </w:r>
            <w:r w:rsidR="007868E9" w:rsidRPr="00287F87">
              <w:rPr>
                <w:rFonts w:ascii="Arial" w:hAnsi="Arial" w:cs="Arial"/>
                <w:sz w:val="18"/>
                <w:szCs w:val="18"/>
                <w:highlight w:val="yellow"/>
              </w:rPr>
              <w:t xml:space="preserve">28 Abs. 1 </w:t>
            </w:r>
            <w:r w:rsidR="004B3F53" w:rsidRPr="00287F87">
              <w:rPr>
                <w:rFonts w:ascii="Arial" w:hAnsi="Arial" w:cs="Arial"/>
                <w:sz w:val="18"/>
                <w:szCs w:val="18"/>
                <w:highlight w:val="yellow"/>
              </w:rPr>
              <w:t xml:space="preserve">BankG; </w:t>
            </w:r>
            <w:r w:rsidR="007868E9" w:rsidRPr="00287F87">
              <w:rPr>
                <w:rFonts w:ascii="Arial" w:hAnsi="Arial" w:cs="Arial"/>
                <w:sz w:val="18"/>
                <w:szCs w:val="18"/>
                <w:highlight w:val="yellow"/>
              </w:rPr>
              <w:t>Art. 135 BankG</w:t>
            </w:r>
            <w:r w:rsidR="00810FF6" w:rsidRPr="00287F87">
              <w:rPr>
                <w:rFonts w:ascii="Arial" w:hAnsi="Arial" w:cs="Arial"/>
                <w:sz w:val="18"/>
                <w:szCs w:val="18"/>
                <w:highlight w:val="yellow"/>
              </w:rPr>
              <w:t>, A</w:t>
            </w:r>
            <w:r w:rsidR="00810FF6" w:rsidRPr="00A938AE">
              <w:rPr>
                <w:rFonts w:ascii="Arial" w:hAnsi="Arial" w:cs="Arial"/>
                <w:sz w:val="18"/>
                <w:szCs w:val="18"/>
                <w:highlight w:val="yellow"/>
              </w:rPr>
              <w:t>rt. 138 BankG</w:t>
            </w:r>
          </w:p>
        </w:tc>
      </w:tr>
      <w:tr w:rsidR="001629CE" w:rsidRPr="00810FF6" w14:paraId="2F237F4B" w14:textId="77777777" w:rsidTr="009B7A8A">
        <w:trPr>
          <w:trHeight w:val="294"/>
        </w:trPr>
        <w:tc>
          <w:tcPr>
            <w:tcW w:w="9180" w:type="dxa"/>
            <w:gridSpan w:val="4"/>
          </w:tcPr>
          <w:p w14:paraId="4228B7E4" w14:textId="77777777" w:rsidR="001629CE" w:rsidRPr="00287F87" w:rsidRDefault="001629CE" w:rsidP="009B7A8A">
            <w:pPr>
              <w:jc w:val="both"/>
              <w:rPr>
                <w:rFonts w:ascii="Arial" w:hAnsi="Arial" w:cs="Arial"/>
                <w:sz w:val="18"/>
                <w:szCs w:val="18"/>
              </w:rPr>
            </w:pPr>
          </w:p>
        </w:tc>
      </w:tr>
      <w:tr w:rsidR="001629CE" w:rsidRPr="009872F3" w14:paraId="2B0FC0EE" w14:textId="77777777" w:rsidTr="009B7A8A">
        <w:tc>
          <w:tcPr>
            <w:tcW w:w="5798" w:type="dxa"/>
            <w:gridSpan w:val="3"/>
          </w:tcPr>
          <w:p w14:paraId="7FD73570" w14:textId="0F10D86A" w:rsidR="001629CE" w:rsidRDefault="001629CE" w:rsidP="009B7A8A">
            <w:pPr>
              <w:jc w:val="both"/>
              <w:rPr>
                <w:rFonts w:ascii="Arial" w:hAnsi="Arial" w:cs="Arial"/>
                <w:sz w:val="18"/>
                <w:szCs w:val="18"/>
              </w:rPr>
            </w:pPr>
            <w:r>
              <w:rPr>
                <w:rFonts w:ascii="Arial" w:hAnsi="Arial" w:cs="Arial"/>
                <w:sz w:val="18"/>
                <w:szCs w:val="18"/>
              </w:rPr>
              <w:t xml:space="preserve">Bestätigung, dass die </w:t>
            </w:r>
            <w:r w:rsidR="00B50E47">
              <w:rPr>
                <w:rFonts w:ascii="Arial" w:hAnsi="Arial" w:cs="Arial"/>
                <w:sz w:val="18"/>
                <w:szCs w:val="18"/>
              </w:rPr>
              <w:t xml:space="preserve">gruppeninternen Verfahren, Strategien und Aufgaben- sowie Kompetenzverteilungen geeignet sind, um die Tochterunternehmen der bewilligten (gemischten) Finanzholdinggesellschaft zu steuern und zu koordinieren. </w:t>
            </w:r>
          </w:p>
        </w:tc>
        <w:tc>
          <w:tcPr>
            <w:tcW w:w="3382" w:type="dxa"/>
          </w:tcPr>
          <w:p w14:paraId="7E29F7AE" w14:textId="77777777" w:rsidR="001629CE" w:rsidRPr="00C3479D" w:rsidRDefault="001629CE"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995C4A" w:rsidRPr="009872F3" w14:paraId="046FAF8D" w14:textId="77777777" w:rsidTr="009B7A8A">
        <w:tc>
          <w:tcPr>
            <w:tcW w:w="5798" w:type="dxa"/>
            <w:gridSpan w:val="3"/>
          </w:tcPr>
          <w:p w14:paraId="1B5DEAA8" w14:textId="46C8F7D0" w:rsidR="00995C4A" w:rsidRDefault="00995C4A" w:rsidP="009B7A8A">
            <w:pPr>
              <w:jc w:val="both"/>
              <w:rPr>
                <w:rFonts w:ascii="Arial" w:hAnsi="Arial" w:cs="Arial"/>
                <w:sz w:val="18"/>
                <w:szCs w:val="18"/>
              </w:rPr>
            </w:pPr>
            <w:r>
              <w:rPr>
                <w:rFonts w:ascii="Arial" w:hAnsi="Arial" w:cs="Arial"/>
                <w:sz w:val="18"/>
                <w:szCs w:val="18"/>
              </w:rPr>
              <w:t xml:space="preserve">Bestätigung, dass der organisatorische Aufbau der Gruppe keine Beeinträchtigung oder Verhinderung der Einhaltung der Pflichten auf Einzelbasis, auf konsolidierter Basis und gegebenenfalls auf teilkonsolidierter Basis zur Folge haben. </w:t>
            </w:r>
          </w:p>
        </w:tc>
        <w:tc>
          <w:tcPr>
            <w:tcW w:w="3382" w:type="dxa"/>
          </w:tcPr>
          <w:p w14:paraId="7D000293" w14:textId="62E3FA47" w:rsidR="00995C4A" w:rsidRPr="00C3479D" w:rsidRDefault="00995C4A"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2600DBF8" w14:textId="77777777" w:rsidR="001629CE" w:rsidRDefault="001629CE" w:rsidP="001629CE">
      <w:pPr>
        <w:jc w:val="both"/>
      </w:pPr>
    </w:p>
    <w:tbl>
      <w:tblPr>
        <w:tblStyle w:val="Tabellenraster"/>
        <w:tblW w:w="0" w:type="auto"/>
        <w:tblLook w:val="04A0" w:firstRow="1" w:lastRow="0" w:firstColumn="1" w:lastColumn="0" w:noHBand="0" w:noVBand="1"/>
      </w:tblPr>
      <w:tblGrid>
        <w:gridCol w:w="2785"/>
        <w:gridCol w:w="6520"/>
      </w:tblGrid>
      <w:tr w:rsidR="001629CE" w:rsidRPr="00CE3194" w14:paraId="765FA10D" w14:textId="77777777" w:rsidTr="009B7A8A">
        <w:tc>
          <w:tcPr>
            <w:tcW w:w="2785" w:type="dxa"/>
          </w:tcPr>
          <w:p w14:paraId="0A03884C" w14:textId="77777777" w:rsidR="001629CE" w:rsidRPr="00CE3194" w:rsidRDefault="001629CE"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4907EDC" w14:textId="77777777" w:rsidR="001629CE" w:rsidRPr="00CE3194" w:rsidRDefault="001629CE"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1629CE" w:rsidRPr="00CE3194" w14:paraId="2751234C" w14:textId="77777777" w:rsidTr="009B7A8A">
        <w:tc>
          <w:tcPr>
            <w:tcW w:w="2785" w:type="dxa"/>
          </w:tcPr>
          <w:p w14:paraId="4DB2557A" w14:textId="20A96D01" w:rsidR="001629CE" w:rsidRDefault="00B50E47" w:rsidP="009B7A8A">
            <w:pPr>
              <w:jc w:val="both"/>
              <w:rPr>
                <w:rFonts w:ascii="Arial" w:hAnsi="Arial" w:cs="Arial"/>
                <w:i/>
                <w:sz w:val="20"/>
                <w:szCs w:val="20"/>
                <w:highlight w:val="lightGray"/>
              </w:rPr>
            </w:pPr>
            <w:r>
              <w:rPr>
                <w:rFonts w:ascii="Arial" w:hAnsi="Arial" w:cs="Arial"/>
                <w:i/>
                <w:sz w:val="20"/>
                <w:szCs w:val="20"/>
                <w:highlight w:val="lightGray"/>
              </w:rPr>
              <w:t>Gruppeninterne Steuerung &amp; Koordination</w:t>
            </w:r>
          </w:p>
        </w:tc>
        <w:tc>
          <w:tcPr>
            <w:tcW w:w="6520" w:type="dxa"/>
          </w:tcPr>
          <w:p w14:paraId="038F5147" w14:textId="15A8A7E0" w:rsidR="00B50E47"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eine übergeordnete Geschäfts- und Risikostrategie besteht. </w:t>
            </w:r>
          </w:p>
          <w:p w14:paraId="7469EF8C" w14:textId="07906717" w:rsidR="001629CE"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Entscheidungen und Steuerungsmassnahmen im Rahmen der übergeordneten Geschäfts- und Risikostrategie wirksam in die Prozesse eingebettet werden. </w:t>
            </w:r>
          </w:p>
          <w:p w14:paraId="24DF02F0" w14:textId="77777777" w:rsidR="00B50E47" w:rsidRDefault="00B50E4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eine gruppenweite Prozesslandkarte besteht. </w:t>
            </w:r>
          </w:p>
          <w:p w14:paraId="4D85F692" w14:textId="5D207520" w:rsidR="00B50E47" w:rsidRPr="00B50E47" w:rsidRDefault="00B50E47" w:rsidP="00B50E47">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Aufgaben – und Kompetenzverteilungen angemessen sind, um die Tochterunternehmen zu steuern und zu koordinieren. </w:t>
            </w:r>
          </w:p>
        </w:tc>
      </w:tr>
      <w:tr w:rsidR="000D47B7" w:rsidRPr="00CE3194" w14:paraId="0EB13446" w14:textId="77777777" w:rsidTr="009B7A8A">
        <w:tc>
          <w:tcPr>
            <w:tcW w:w="2785" w:type="dxa"/>
          </w:tcPr>
          <w:p w14:paraId="4E5E0AD6" w14:textId="019453D4" w:rsidR="000D47B7" w:rsidRDefault="000D47B7" w:rsidP="009B7A8A">
            <w:pPr>
              <w:jc w:val="both"/>
              <w:rPr>
                <w:rFonts w:ascii="Arial" w:hAnsi="Arial" w:cs="Arial"/>
                <w:i/>
                <w:sz w:val="20"/>
                <w:szCs w:val="20"/>
                <w:highlight w:val="lightGray"/>
              </w:rPr>
            </w:pPr>
            <w:r>
              <w:rPr>
                <w:rFonts w:ascii="Arial" w:hAnsi="Arial" w:cs="Arial"/>
                <w:i/>
                <w:sz w:val="20"/>
                <w:szCs w:val="20"/>
                <w:highlight w:val="lightGray"/>
              </w:rPr>
              <w:t>Organisatorische</w:t>
            </w:r>
            <w:r w:rsidR="001D61FF">
              <w:rPr>
                <w:rFonts w:ascii="Arial" w:hAnsi="Arial" w:cs="Arial"/>
                <w:i/>
                <w:sz w:val="20"/>
                <w:szCs w:val="20"/>
                <w:highlight w:val="lightGray"/>
              </w:rPr>
              <w:t>r</w:t>
            </w:r>
            <w:r>
              <w:rPr>
                <w:rFonts w:ascii="Arial" w:hAnsi="Arial" w:cs="Arial"/>
                <w:i/>
                <w:sz w:val="20"/>
                <w:szCs w:val="20"/>
                <w:highlight w:val="lightGray"/>
              </w:rPr>
              <w:t xml:space="preserve"> Aufbau</w:t>
            </w:r>
          </w:p>
        </w:tc>
        <w:tc>
          <w:tcPr>
            <w:tcW w:w="6520" w:type="dxa"/>
          </w:tcPr>
          <w:p w14:paraId="08D28126" w14:textId="457CE284" w:rsidR="000D47B7" w:rsidRDefault="000D47B7"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Der organisatorische Aufbau stellt sich, dass die Pflichten auf Einzelbasis, auf konsolidierter Basis und gegebenenfalls auf teilkonsolidierter Basis </w:t>
            </w:r>
            <w:r w:rsidR="00995C4A">
              <w:rPr>
                <w:rFonts w:cs="Arial"/>
                <w:i/>
                <w:szCs w:val="20"/>
                <w:highlight w:val="lightGray"/>
              </w:rPr>
              <w:t xml:space="preserve">durch deren Ausgestaltung (Beteiligungsstruktur, gruppeninterne Positionierung und Rolle der bewilligten (gemischten) Finanzholdinggesellschaft nicht beeinträchtigt oder verhindert werden. </w:t>
            </w:r>
          </w:p>
        </w:tc>
      </w:tr>
    </w:tbl>
    <w:p w14:paraId="55478B2C" w14:textId="77777777" w:rsidR="001629CE" w:rsidRDefault="001629CE" w:rsidP="001629CE">
      <w:pPr>
        <w:jc w:val="both"/>
      </w:pPr>
    </w:p>
    <w:p w14:paraId="34B307E7" w14:textId="77777777" w:rsidR="001629CE" w:rsidRPr="00667026" w:rsidRDefault="001629CE" w:rsidP="001629CE">
      <w:pPr>
        <w:jc w:val="both"/>
        <w:rPr>
          <w:rFonts w:ascii="Arial" w:hAnsi="Arial" w:cs="Arial"/>
          <w:i/>
          <w:sz w:val="20"/>
          <w:szCs w:val="20"/>
        </w:rPr>
      </w:pPr>
      <w:r w:rsidRPr="00276C60">
        <w:rPr>
          <w:rFonts w:ascii="Arial" w:hAnsi="Arial" w:cs="Arial"/>
          <w:i/>
          <w:sz w:val="20"/>
          <w:szCs w:val="20"/>
          <w:highlight w:val="yellow"/>
        </w:rPr>
        <w:t>Text</w:t>
      </w:r>
    </w:p>
    <w:p w14:paraId="01A7853D" w14:textId="7346A3A9" w:rsidR="001629CE" w:rsidRDefault="001629CE" w:rsidP="00636495">
      <w:pPr>
        <w:jc w:val="both"/>
      </w:pPr>
    </w:p>
    <w:p w14:paraId="78019263" w14:textId="6F59D3E0" w:rsidR="006D37A3" w:rsidRDefault="006D37A3" w:rsidP="00636495">
      <w:pPr>
        <w:jc w:val="both"/>
      </w:pPr>
    </w:p>
    <w:p w14:paraId="0FF3558E" w14:textId="71291A96" w:rsidR="006D37A3" w:rsidRDefault="006D37A3" w:rsidP="006D37A3">
      <w:pPr>
        <w:pStyle w:val="FINMAGliederungEbene3"/>
      </w:pPr>
      <w:bookmarkStart w:id="86" w:name="_Toc216425827"/>
      <w:r>
        <w:t>Gewähr der Personen, die die Geschäfte der bewilligten (gemischten) Finanzholdinggesellschaft tatsächlich führen</w:t>
      </w:r>
      <w:bookmarkEnd w:id="86"/>
    </w:p>
    <w:p w14:paraId="0525E163" w14:textId="77777777" w:rsidR="006D37A3" w:rsidRDefault="006D37A3" w:rsidP="006D37A3">
      <w:pPr>
        <w:jc w:val="both"/>
      </w:pPr>
    </w:p>
    <w:tbl>
      <w:tblPr>
        <w:tblStyle w:val="Tabellenraster"/>
        <w:tblW w:w="0" w:type="auto"/>
        <w:tblLook w:val="04A0" w:firstRow="1" w:lastRow="0" w:firstColumn="1" w:lastColumn="0" w:noHBand="0" w:noVBand="1"/>
      </w:tblPr>
      <w:tblGrid>
        <w:gridCol w:w="1932"/>
        <w:gridCol w:w="2145"/>
        <w:gridCol w:w="1721"/>
        <w:gridCol w:w="3382"/>
      </w:tblGrid>
      <w:tr w:rsidR="006D37A3" w:rsidRPr="009872F3" w14:paraId="706322F5" w14:textId="77777777" w:rsidTr="009B7A8A">
        <w:trPr>
          <w:trHeight w:val="563"/>
        </w:trPr>
        <w:tc>
          <w:tcPr>
            <w:tcW w:w="1932" w:type="dxa"/>
          </w:tcPr>
          <w:p w14:paraId="19443A4E"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Nettorisiko</w:t>
            </w:r>
          </w:p>
        </w:tc>
        <w:tc>
          <w:tcPr>
            <w:tcW w:w="2145" w:type="dxa"/>
          </w:tcPr>
          <w:p w14:paraId="697D83AC"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Intervention Berichtsjahr:</w:t>
            </w:r>
          </w:p>
        </w:tc>
        <w:tc>
          <w:tcPr>
            <w:tcW w:w="5103" w:type="dxa"/>
            <w:gridSpan w:val="2"/>
          </w:tcPr>
          <w:p w14:paraId="0F314650"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Angabe des Jahres mit letzter Intervention mit folgender Prüftiefe (vor dem Berichtsjahr)</w:t>
            </w:r>
          </w:p>
        </w:tc>
      </w:tr>
      <w:tr w:rsidR="006D37A3" w:rsidRPr="009872F3" w14:paraId="686C4434" w14:textId="77777777" w:rsidTr="009B7A8A">
        <w:trPr>
          <w:trHeight w:val="698"/>
        </w:trPr>
        <w:tc>
          <w:tcPr>
            <w:tcW w:w="1932" w:type="dxa"/>
          </w:tcPr>
          <w:p w14:paraId="2640FE2D"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2145" w:type="dxa"/>
          </w:tcPr>
          <w:p w14:paraId="2663D0DA"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Detailprüfung / Kritische Beurteilung</w:t>
            </w:r>
          </w:p>
        </w:tc>
        <w:tc>
          <w:tcPr>
            <w:tcW w:w="1721" w:type="dxa"/>
          </w:tcPr>
          <w:p w14:paraId="5E500021"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Detailprüfung:</w:t>
            </w:r>
            <w:r w:rsidRPr="009872F3">
              <w:rPr>
                <w:rFonts w:ascii="Arial" w:hAnsi="Arial" w:cs="Arial"/>
                <w:sz w:val="18"/>
                <w:szCs w:val="18"/>
                <w:highlight w:val="green"/>
              </w:rPr>
              <w:t xml:space="preserve"> </w:t>
            </w:r>
            <w:r w:rsidRPr="006749F0">
              <w:rPr>
                <w:rFonts w:ascii="Arial" w:hAnsi="Arial" w:cs="Arial"/>
                <w:i/>
                <w:sz w:val="18"/>
                <w:szCs w:val="18"/>
                <w:highlight w:val="yellow"/>
              </w:rPr>
              <w:t>Jahr</w:t>
            </w:r>
          </w:p>
        </w:tc>
        <w:tc>
          <w:tcPr>
            <w:tcW w:w="3382" w:type="dxa"/>
          </w:tcPr>
          <w:p w14:paraId="3E21D006" w14:textId="77777777" w:rsidR="006D37A3" w:rsidRDefault="006D37A3" w:rsidP="009B7A8A">
            <w:pPr>
              <w:jc w:val="both"/>
              <w:rPr>
                <w:rFonts w:ascii="Arial" w:hAnsi="Arial" w:cs="Arial"/>
                <w:sz w:val="18"/>
                <w:szCs w:val="18"/>
                <w:highlight w:val="yellow"/>
              </w:rPr>
            </w:pPr>
            <w:r w:rsidRPr="009872F3">
              <w:rPr>
                <w:rFonts w:ascii="Arial" w:hAnsi="Arial" w:cs="Arial"/>
                <w:sz w:val="18"/>
                <w:szCs w:val="18"/>
              </w:rPr>
              <w:t>Kritische Beurteilung</w:t>
            </w:r>
            <w:r>
              <w:rPr>
                <w:rFonts w:ascii="Arial" w:hAnsi="Arial" w:cs="Arial"/>
                <w:sz w:val="18"/>
                <w:szCs w:val="18"/>
              </w:rPr>
              <w:t>:</w:t>
            </w:r>
            <w:r w:rsidRPr="006749F0">
              <w:rPr>
                <w:rFonts w:ascii="Arial" w:hAnsi="Arial" w:cs="Arial"/>
                <w:sz w:val="18"/>
                <w:szCs w:val="18"/>
                <w:highlight w:val="yellow"/>
              </w:rPr>
              <w:t xml:space="preserve"> </w:t>
            </w:r>
          </w:p>
          <w:p w14:paraId="32364E72" w14:textId="77777777" w:rsidR="006D37A3" w:rsidRPr="006749F0" w:rsidRDefault="006D37A3" w:rsidP="009B7A8A">
            <w:pPr>
              <w:jc w:val="both"/>
              <w:rPr>
                <w:rFonts w:ascii="Arial" w:hAnsi="Arial" w:cs="Arial"/>
                <w:i/>
                <w:sz w:val="18"/>
                <w:szCs w:val="18"/>
              </w:rPr>
            </w:pPr>
            <w:r w:rsidRPr="006749F0">
              <w:rPr>
                <w:rFonts w:ascii="Arial" w:hAnsi="Arial" w:cs="Arial"/>
                <w:i/>
                <w:sz w:val="18"/>
                <w:szCs w:val="18"/>
                <w:highlight w:val="yellow"/>
              </w:rPr>
              <w:t>Jahr</w:t>
            </w:r>
          </w:p>
        </w:tc>
      </w:tr>
      <w:tr w:rsidR="006D37A3" w:rsidRPr="00810FF6" w14:paraId="746A3898" w14:textId="77777777" w:rsidTr="009B7A8A">
        <w:trPr>
          <w:trHeight w:val="133"/>
        </w:trPr>
        <w:tc>
          <w:tcPr>
            <w:tcW w:w="9180" w:type="dxa"/>
            <w:gridSpan w:val="4"/>
          </w:tcPr>
          <w:p w14:paraId="1C816219" w14:textId="77777777" w:rsidR="006D37A3" w:rsidRDefault="006D37A3" w:rsidP="009B7A8A">
            <w:pPr>
              <w:jc w:val="both"/>
              <w:rPr>
                <w:rFonts w:ascii="Arial" w:hAnsi="Arial" w:cs="Arial"/>
                <w:sz w:val="18"/>
                <w:szCs w:val="18"/>
              </w:rPr>
            </w:pPr>
          </w:p>
          <w:p w14:paraId="2A9D1F71" w14:textId="77777777" w:rsidR="006D37A3" w:rsidRPr="00F60909" w:rsidRDefault="006D37A3"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68CBFB07" w14:textId="5914F5FC" w:rsidR="006D37A3" w:rsidRPr="00287F87" w:rsidRDefault="00A17DB1" w:rsidP="009B7A8A">
            <w:pPr>
              <w:jc w:val="both"/>
              <w:rPr>
                <w:rFonts w:ascii="Arial" w:hAnsi="Arial" w:cs="Arial"/>
                <w:sz w:val="18"/>
                <w:szCs w:val="18"/>
              </w:rPr>
            </w:pPr>
            <w:r w:rsidRPr="00287F87">
              <w:rPr>
                <w:rFonts w:ascii="Arial" w:hAnsi="Arial" w:cs="Arial"/>
                <w:sz w:val="18"/>
                <w:szCs w:val="18"/>
                <w:highlight w:val="yellow"/>
              </w:rPr>
              <w:t xml:space="preserve">Art. </w:t>
            </w:r>
            <w:r w:rsidR="00810FF6" w:rsidRPr="00A938AE">
              <w:rPr>
                <w:rFonts w:ascii="Arial" w:hAnsi="Arial" w:cs="Arial"/>
                <w:sz w:val="18"/>
                <w:szCs w:val="18"/>
                <w:highlight w:val="yellow"/>
              </w:rPr>
              <w:t xml:space="preserve">28 BankG, </w:t>
            </w:r>
            <w:r w:rsidR="00C53872" w:rsidRPr="00287F87">
              <w:rPr>
                <w:rFonts w:ascii="Arial" w:hAnsi="Arial" w:cs="Arial"/>
                <w:sz w:val="18"/>
                <w:szCs w:val="18"/>
                <w:highlight w:val="yellow"/>
              </w:rPr>
              <w:t>;</w:t>
            </w:r>
            <w:r w:rsidR="00810FF6" w:rsidRPr="002561FD">
              <w:rPr>
                <w:rFonts w:ascii="Arial" w:hAnsi="Arial" w:cs="Arial"/>
                <w:sz w:val="18"/>
                <w:szCs w:val="18"/>
                <w:highlight w:val="yellow"/>
              </w:rPr>
              <w:t>A</w:t>
            </w:r>
            <w:r w:rsidR="00810FF6" w:rsidRPr="00A938AE">
              <w:rPr>
                <w:rFonts w:ascii="Arial" w:hAnsi="Arial" w:cs="Arial"/>
                <w:sz w:val="18"/>
                <w:szCs w:val="18"/>
                <w:highlight w:val="yellow"/>
              </w:rPr>
              <w:t>rt. 135 BankG</w:t>
            </w:r>
          </w:p>
        </w:tc>
      </w:tr>
      <w:tr w:rsidR="006D37A3" w:rsidRPr="00810FF6" w14:paraId="624D196E" w14:textId="77777777" w:rsidTr="009B7A8A">
        <w:trPr>
          <w:trHeight w:val="294"/>
        </w:trPr>
        <w:tc>
          <w:tcPr>
            <w:tcW w:w="9180" w:type="dxa"/>
            <w:gridSpan w:val="4"/>
          </w:tcPr>
          <w:p w14:paraId="2A0A257E" w14:textId="77777777" w:rsidR="006D37A3" w:rsidRPr="00287F87" w:rsidRDefault="006D37A3" w:rsidP="009B7A8A">
            <w:pPr>
              <w:jc w:val="both"/>
              <w:rPr>
                <w:rFonts w:ascii="Arial" w:hAnsi="Arial" w:cs="Arial"/>
                <w:sz w:val="18"/>
                <w:szCs w:val="18"/>
              </w:rPr>
            </w:pPr>
          </w:p>
        </w:tc>
      </w:tr>
      <w:tr w:rsidR="006D37A3" w:rsidRPr="009872F3" w14:paraId="2E6CCC0A" w14:textId="77777777" w:rsidTr="009B7A8A">
        <w:tc>
          <w:tcPr>
            <w:tcW w:w="5798" w:type="dxa"/>
            <w:gridSpan w:val="3"/>
          </w:tcPr>
          <w:p w14:paraId="67918769" w14:textId="17F501A9" w:rsidR="006D37A3" w:rsidRPr="009872F3" w:rsidRDefault="006D37A3" w:rsidP="009B7A8A">
            <w:pPr>
              <w:jc w:val="both"/>
              <w:rPr>
                <w:rFonts w:ascii="Arial" w:hAnsi="Arial" w:cs="Arial"/>
                <w:sz w:val="18"/>
                <w:szCs w:val="18"/>
              </w:rPr>
            </w:pPr>
            <w:r>
              <w:rPr>
                <w:rFonts w:ascii="Arial" w:hAnsi="Arial" w:cs="Arial"/>
                <w:sz w:val="18"/>
                <w:szCs w:val="18"/>
              </w:rPr>
              <w:lastRenderedPageBreak/>
              <w:t>Bestätigung, dass die Personen, die die Geschäfte der bewilligten (gemischten) Finanzholdinggesellschaft tatsächlich führen über ausreichende Kenntnisse, Fähigkeiten und Erfahrungen für die Wahrnehmung ihrer Aufgaben verfügen</w:t>
            </w:r>
            <w:r w:rsidR="005D4269">
              <w:rPr>
                <w:rFonts w:ascii="Arial" w:hAnsi="Arial" w:cs="Arial"/>
                <w:sz w:val="18"/>
                <w:szCs w:val="18"/>
              </w:rPr>
              <w:t>.</w:t>
            </w:r>
          </w:p>
        </w:tc>
        <w:tc>
          <w:tcPr>
            <w:tcW w:w="3382" w:type="dxa"/>
          </w:tcPr>
          <w:p w14:paraId="5504A64D" w14:textId="77777777" w:rsidR="006D37A3" w:rsidRPr="00E109DF" w:rsidRDefault="006D37A3" w:rsidP="009B7A8A">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64223893" w14:textId="002C41FF" w:rsidR="006D37A3" w:rsidRDefault="006D37A3" w:rsidP="00636495">
      <w:pPr>
        <w:jc w:val="both"/>
      </w:pPr>
    </w:p>
    <w:tbl>
      <w:tblPr>
        <w:tblStyle w:val="Tabellenraster"/>
        <w:tblW w:w="0" w:type="auto"/>
        <w:tblLook w:val="04A0" w:firstRow="1" w:lastRow="0" w:firstColumn="1" w:lastColumn="0" w:noHBand="0" w:noVBand="1"/>
      </w:tblPr>
      <w:tblGrid>
        <w:gridCol w:w="2785"/>
        <w:gridCol w:w="6520"/>
      </w:tblGrid>
      <w:tr w:rsidR="00F96EFF" w:rsidRPr="00CE3194" w14:paraId="5BBF612D" w14:textId="77777777" w:rsidTr="009B7A8A">
        <w:tc>
          <w:tcPr>
            <w:tcW w:w="2785" w:type="dxa"/>
          </w:tcPr>
          <w:p w14:paraId="6D0737B4" w14:textId="77777777" w:rsidR="00F96EFF" w:rsidRPr="00CE3194" w:rsidRDefault="00F96EFF"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6520" w:type="dxa"/>
          </w:tcPr>
          <w:p w14:paraId="48F0DF9D" w14:textId="77777777" w:rsidR="00F96EFF" w:rsidRPr="00CE3194" w:rsidRDefault="00F96EFF"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r>
      <w:tr w:rsidR="00F96EFF" w:rsidRPr="00CE3194" w14:paraId="371EDA8E" w14:textId="77777777" w:rsidTr="009B7A8A">
        <w:tc>
          <w:tcPr>
            <w:tcW w:w="2785" w:type="dxa"/>
          </w:tcPr>
          <w:p w14:paraId="3B228B2E" w14:textId="77777777" w:rsidR="00F96EFF" w:rsidRPr="00E55E3C" w:rsidRDefault="00F96EFF" w:rsidP="00E55E3C">
            <w:pPr>
              <w:jc w:val="both"/>
              <w:rPr>
                <w:i/>
                <w:szCs w:val="20"/>
                <w:highlight w:val="lightGray"/>
              </w:rPr>
            </w:pPr>
            <w:r w:rsidRPr="00E55E3C">
              <w:rPr>
                <w:rFonts w:ascii="Arial" w:hAnsi="Arial" w:cs="Arial"/>
                <w:i/>
                <w:sz w:val="20"/>
                <w:szCs w:val="20"/>
                <w:highlight w:val="lightGray"/>
              </w:rPr>
              <w:t>Gewähr der Personen, die die Geschäfte der bewilligten (gemischten) Finanzholdinggesellschaft tatsächlich führen</w:t>
            </w:r>
          </w:p>
          <w:p w14:paraId="57FFDEB4" w14:textId="7CE3683B" w:rsidR="00F96EFF" w:rsidRDefault="00F96EFF" w:rsidP="009B7A8A">
            <w:pPr>
              <w:jc w:val="both"/>
              <w:rPr>
                <w:rFonts w:ascii="Arial" w:hAnsi="Arial" w:cs="Arial"/>
                <w:i/>
                <w:sz w:val="20"/>
                <w:szCs w:val="20"/>
                <w:highlight w:val="lightGray"/>
              </w:rPr>
            </w:pPr>
          </w:p>
        </w:tc>
        <w:tc>
          <w:tcPr>
            <w:tcW w:w="6520" w:type="dxa"/>
          </w:tcPr>
          <w:p w14:paraId="245A98AE" w14:textId="77777777" w:rsidR="00F96EFF" w:rsidRDefault="00F96EFF" w:rsidP="00F96EFF">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Personen, die die Geschäfte der bewilligten (gemischten) Finanzholdinggesellschaft tatsächlich führen sowohl individuell als auch kollektiv geeignet sind</w:t>
            </w:r>
          </w:p>
          <w:p w14:paraId="6EC282BF" w14:textId="2384326A" w:rsidR="00F96EFF" w:rsidRPr="00B50E47" w:rsidRDefault="00F96EFF" w:rsidP="00F96EFF">
            <w:pPr>
              <w:pStyle w:val="Listenabsatz"/>
              <w:numPr>
                <w:ilvl w:val="1"/>
                <w:numId w:val="17"/>
              </w:numPr>
              <w:ind w:left="317" w:hanging="283"/>
              <w:jc w:val="both"/>
              <w:rPr>
                <w:rFonts w:cs="Arial"/>
                <w:i/>
                <w:szCs w:val="20"/>
                <w:highlight w:val="lightGray"/>
              </w:rPr>
            </w:pPr>
            <w:r>
              <w:rPr>
                <w:rFonts w:cs="Arial"/>
                <w:i/>
                <w:szCs w:val="20"/>
                <w:highlight w:val="lightGray"/>
              </w:rPr>
              <w:t xml:space="preserve">Es besteht ein internes Verfahren zur regelmässigen Überprüfung der individuellen und kollektiven Eignung.  </w:t>
            </w:r>
          </w:p>
        </w:tc>
      </w:tr>
    </w:tbl>
    <w:p w14:paraId="3CEC7222" w14:textId="55E3596B" w:rsidR="00F96EFF" w:rsidRDefault="00F96EFF" w:rsidP="00636495">
      <w:pPr>
        <w:jc w:val="both"/>
      </w:pPr>
    </w:p>
    <w:p w14:paraId="0DEA48A6" w14:textId="77777777" w:rsidR="00F96EFF" w:rsidRDefault="00F96EFF" w:rsidP="00636495">
      <w:pPr>
        <w:jc w:val="both"/>
      </w:pPr>
    </w:p>
    <w:p w14:paraId="7351817F" w14:textId="77777777" w:rsidR="006D37A3" w:rsidRDefault="006D37A3" w:rsidP="00636495">
      <w:pPr>
        <w:jc w:val="both"/>
      </w:pPr>
    </w:p>
    <w:p w14:paraId="74B83E34" w14:textId="77777777" w:rsidR="006D37A3" w:rsidRPr="00667026" w:rsidRDefault="006D37A3" w:rsidP="006D37A3">
      <w:pPr>
        <w:jc w:val="both"/>
        <w:rPr>
          <w:rFonts w:ascii="Arial" w:hAnsi="Arial" w:cs="Arial"/>
          <w:i/>
          <w:sz w:val="20"/>
          <w:szCs w:val="20"/>
        </w:rPr>
      </w:pPr>
      <w:r w:rsidRPr="00276C60">
        <w:rPr>
          <w:rFonts w:ascii="Arial" w:hAnsi="Arial" w:cs="Arial"/>
          <w:i/>
          <w:sz w:val="20"/>
          <w:szCs w:val="20"/>
          <w:highlight w:val="yellow"/>
        </w:rPr>
        <w:t>Text</w:t>
      </w:r>
    </w:p>
    <w:p w14:paraId="5C8851D5" w14:textId="2F178860" w:rsidR="006D37A3" w:rsidRDefault="006D37A3" w:rsidP="00636495">
      <w:pPr>
        <w:jc w:val="both"/>
      </w:pPr>
    </w:p>
    <w:p w14:paraId="069960E0" w14:textId="0612A409" w:rsidR="001629CE" w:rsidRDefault="001629CE" w:rsidP="00636495">
      <w:pPr>
        <w:jc w:val="both"/>
      </w:pPr>
    </w:p>
    <w:p w14:paraId="11311C33" w14:textId="0B3999FB" w:rsidR="006D37A3" w:rsidRDefault="006D37A3" w:rsidP="006D37A3">
      <w:pPr>
        <w:pStyle w:val="FINMAGliederungEbene3"/>
      </w:pPr>
      <w:bookmarkStart w:id="87" w:name="_Toc216425828"/>
      <w:r>
        <w:t>Auslagerung</w:t>
      </w:r>
      <w:bookmarkEnd w:id="87"/>
    </w:p>
    <w:p w14:paraId="2413947D" w14:textId="77777777" w:rsidR="006D37A3" w:rsidRDefault="006D37A3" w:rsidP="006D37A3">
      <w:pPr>
        <w:jc w:val="both"/>
      </w:pPr>
    </w:p>
    <w:tbl>
      <w:tblPr>
        <w:tblStyle w:val="Tabellenraster"/>
        <w:tblW w:w="0" w:type="auto"/>
        <w:tblLook w:val="04A0" w:firstRow="1" w:lastRow="0" w:firstColumn="1" w:lastColumn="0" w:noHBand="0" w:noVBand="1"/>
      </w:tblPr>
      <w:tblGrid>
        <w:gridCol w:w="1478"/>
        <w:gridCol w:w="2220"/>
        <w:gridCol w:w="2083"/>
        <w:gridCol w:w="3733"/>
      </w:tblGrid>
      <w:tr w:rsidR="006D37A3" w:rsidRPr="009872F3" w14:paraId="07938CEA" w14:textId="77777777" w:rsidTr="009B7A8A">
        <w:trPr>
          <w:trHeight w:val="563"/>
        </w:trPr>
        <w:tc>
          <w:tcPr>
            <w:tcW w:w="1504" w:type="dxa"/>
          </w:tcPr>
          <w:p w14:paraId="3CE5B6A8" w14:textId="77777777" w:rsidR="006D37A3" w:rsidRPr="009872F3" w:rsidRDefault="006D37A3" w:rsidP="009B7A8A">
            <w:pPr>
              <w:jc w:val="both"/>
              <w:rPr>
                <w:rFonts w:ascii="Arial" w:hAnsi="Arial" w:cs="Arial"/>
                <w:sz w:val="18"/>
                <w:szCs w:val="18"/>
              </w:rPr>
            </w:pPr>
            <w:r w:rsidRPr="009872F3">
              <w:rPr>
                <w:rFonts w:ascii="Arial" w:hAnsi="Arial" w:cs="Arial"/>
                <w:sz w:val="18"/>
                <w:szCs w:val="18"/>
              </w:rPr>
              <w:t>Nettorisiko</w:t>
            </w:r>
          </w:p>
        </w:tc>
        <w:tc>
          <w:tcPr>
            <w:tcW w:w="4409" w:type="dxa"/>
            <w:gridSpan w:val="2"/>
          </w:tcPr>
          <w:p w14:paraId="539D1476" w14:textId="77777777" w:rsidR="006D37A3" w:rsidRPr="009872F3" w:rsidRDefault="006D37A3" w:rsidP="009B7A8A">
            <w:pPr>
              <w:jc w:val="both"/>
              <w:rPr>
                <w:rFonts w:ascii="Arial" w:hAnsi="Arial" w:cs="Arial"/>
                <w:sz w:val="18"/>
                <w:szCs w:val="18"/>
              </w:rPr>
            </w:pPr>
            <w:r>
              <w:rPr>
                <w:rFonts w:ascii="Arial" w:hAnsi="Arial" w:cs="Arial"/>
                <w:sz w:val="18"/>
                <w:szCs w:val="18"/>
              </w:rPr>
              <w:t>Abzudeckende(-s) Prüfelement(-e) im Rahmen der graduellen Abdeckung im Berichtsjahr mit Angabe der Prüftiefe</w:t>
            </w:r>
          </w:p>
        </w:tc>
        <w:tc>
          <w:tcPr>
            <w:tcW w:w="3827" w:type="dxa"/>
          </w:tcPr>
          <w:p w14:paraId="4C26CD01" w14:textId="77777777" w:rsidR="006D37A3" w:rsidRPr="009872F3" w:rsidRDefault="006D37A3" w:rsidP="009B7A8A">
            <w:pPr>
              <w:jc w:val="both"/>
              <w:rPr>
                <w:rFonts w:ascii="Arial" w:hAnsi="Arial" w:cs="Arial"/>
                <w:sz w:val="18"/>
                <w:szCs w:val="18"/>
              </w:rPr>
            </w:pPr>
            <w:r>
              <w:rPr>
                <w:rFonts w:ascii="Arial" w:hAnsi="Arial" w:cs="Arial"/>
                <w:sz w:val="18"/>
                <w:szCs w:val="18"/>
              </w:rPr>
              <w:t xml:space="preserve">In den vorangegangenen fünf Jahren im Rahmen der graduellen Abdeckung abgedeckte Prüfelemente mit Angabe der jeweiligen Prüftiefe und des Prüfjahrs </w:t>
            </w:r>
          </w:p>
        </w:tc>
      </w:tr>
      <w:tr w:rsidR="006D37A3" w:rsidRPr="009872F3" w14:paraId="2E28BE9E" w14:textId="77777777" w:rsidTr="009B7A8A">
        <w:trPr>
          <w:trHeight w:val="698"/>
        </w:trPr>
        <w:tc>
          <w:tcPr>
            <w:tcW w:w="1504" w:type="dxa"/>
          </w:tcPr>
          <w:p w14:paraId="42918F8D" w14:textId="77777777" w:rsidR="006D37A3" w:rsidRPr="006749F0" w:rsidRDefault="006D37A3" w:rsidP="009B7A8A">
            <w:pPr>
              <w:jc w:val="both"/>
              <w:rPr>
                <w:rFonts w:ascii="Arial" w:hAnsi="Arial" w:cs="Arial"/>
                <w:i/>
                <w:sz w:val="18"/>
                <w:szCs w:val="18"/>
                <w:highlight w:val="green"/>
              </w:rPr>
            </w:pPr>
            <w:r w:rsidRPr="006749F0">
              <w:rPr>
                <w:rFonts w:ascii="Arial" w:hAnsi="Arial" w:cs="Arial"/>
                <w:i/>
                <w:sz w:val="18"/>
                <w:szCs w:val="18"/>
                <w:highlight w:val="yellow"/>
              </w:rPr>
              <w:t>niedrig</w:t>
            </w:r>
            <w:r>
              <w:rPr>
                <w:rFonts w:ascii="Arial" w:hAnsi="Arial" w:cs="Arial"/>
                <w:i/>
                <w:sz w:val="18"/>
                <w:szCs w:val="18"/>
                <w:highlight w:val="yellow"/>
              </w:rPr>
              <w:t>/ mittel / hoch</w:t>
            </w:r>
          </w:p>
        </w:tc>
        <w:tc>
          <w:tcPr>
            <w:tcW w:w="4409" w:type="dxa"/>
            <w:gridSpan w:val="2"/>
          </w:tcPr>
          <w:p w14:paraId="653CE3F2" w14:textId="77777777" w:rsidR="006D37A3" w:rsidRPr="00CB3EE6" w:rsidRDefault="006D37A3" w:rsidP="009B7A8A">
            <w:pPr>
              <w:jc w:val="both"/>
              <w:rPr>
                <w:rFonts w:ascii="Arial" w:hAnsi="Arial" w:cs="Arial"/>
                <w:sz w:val="18"/>
                <w:szCs w:val="18"/>
                <w:highlight w:val="yellow"/>
              </w:rPr>
            </w:pPr>
            <w:r>
              <w:rPr>
                <w:rFonts w:ascii="Arial" w:hAnsi="Arial" w:cs="Arial"/>
                <w:sz w:val="18"/>
                <w:szCs w:val="18"/>
                <w:highlight w:val="yellow"/>
              </w:rPr>
              <w:t>Beispiel für Berichtsjahr 2019:</w:t>
            </w:r>
          </w:p>
          <w:p w14:paraId="6C019EF1" w14:textId="77777777" w:rsidR="006D37A3" w:rsidRPr="00255340" w:rsidRDefault="006D37A3" w:rsidP="009B7A8A">
            <w:pPr>
              <w:pStyle w:val="Listenabsatz"/>
              <w:numPr>
                <w:ilvl w:val="1"/>
                <w:numId w:val="17"/>
              </w:numPr>
              <w:ind w:left="197" w:hanging="197"/>
              <w:jc w:val="both"/>
              <w:rPr>
                <w:rFonts w:cs="Arial"/>
                <w:sz w:val="18"/>
                <w:szCs w:val="18"/>
                <w:highlight w:val="yellow"/>
              </w:rPr>
            </w:pPr>
            <w:r w:rsidRPr="00255340">
              <w:rPr>
                <w:rFonts w:cs="Arial"/>
                <w:sz w:val="18"/>
                <w:szCs w:val="18"/>
                <w:highlight w:val="yellow"/>
              </w:rPr>
              <w:t>Auslagerungspolitik / -richtlinien</w:t>
            </w:r>
            <w:r>
              <w:rPr>
                <w:rFonts w:cs="Arial"/>
                <w:sz w:val="18"/>
                <w:szCs w:val="18"/>
                <w:highlight w:val="yellow"/>
              </w:rPr>
              <w:t xml:space="preserve"> (Kritische Beurteilung)</w:t>
            </w:r>
          </w:p>
          <w:p w14:paraId="153B7033" w14:textId="77777777" w:rsidR="006D37A3" w:rsidRPr="00CB3EE6" w:rsidRDefault="006D37A3" w:rsidP="009B7A8A">
            <w:pPr>
              <w:pStyle w:val="Listenabsatz"/>
              <w:numPr>
                <w:ilvl w:val="1"/>
                <w:numId w:val="17"/>
              </w:numPr>
              <w:ind w:left="197" w:hanging="197"/>
              <w:jc w:val="both"/>
              <w:rPr>
                <w:rFonts w:cs="Arial"/>
                <w:sz w:val="18"/>
                <w:szCs w:val="18"/>
              </w:rPr>
            </w:pPr>
            <w:r w:rsidRPr="00255340">
              <w:rPr>
                <w:rFonts w:cs="Arial"/>
                <w:sz w:val="18"/>
                <w:szCs w:val="18"/>
                <w:highlight w:val="yellow"/>
              </w:rPr>
              <w:t>Dokumentationsanforderungen / Registerführung (Detailprüfung)</w:t>
            </w:r>
          </w:p>
        </w:tc>
        <w:tc>
          <w:tcPr>
            <w:tcW w:w="3827" w:type="dxa"/>
          </w:tcPr>
          <w:p w14:paraId="244C16B1" w14:textId="77777777" w:rsidR="006D37A3" w:rsidRDefault="006D37A3" w:rsidP="009B7A8A">
            <w:pPr>
              <w:jc w:val="both"/>
              <w:rPr>
                <w:rFonts w:ascii="Arial" w:hAnsi="Arial" w:cs="Arial"/>
                <w:i/>
                <w:sz w:val="18"/>
                <w:szCs w:val="18"/>
              </w:rPr>
            </w:pPr>
            <w:r w:rsidRPr="00CB3EE6">
              <w:rPr>
                <w:rFonts w:ascii="Arial" w:hAnsi="Arial" w:cs="Arial"/>
                <w:i/>
                <w:sz w:val="18"/>
                <w:szCs w:val="18"/>
                <w:highlight w:val="yellow"/>
              </w:rPr>
              <w:t>Beispiel:</w:t>
            </w:r>
          </w:p>
          <w:p w14:paraId="160F46B1" w14:textId="77777777" w:rsidR="006D37A3" w:rsidRPr="00024116"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2014: Analyse vor Auslagerung / Auslagerungsvereinbarungen</w:t>
            </w:r>
            <w:r>
              <w:rPr>
                <w:rFonts w:ascii="Arial" w:hAnsi="Arial" w:cs="Arial"/>
                <w:i/>
                <w:sz w:val="18"/>
                <w:szCs w:val="18"/>
                <w:highlight w:val="yellow"/>
              </w:rPr>
              <w:t xml:space="preserve"> (Kritische Beurteilung)</w:t>
            </w:r>
          </w:p>
          <w:p w14:paraId="6317A53A" w14:textId="77777777" w:rsidR="006D37A3" w:rsidRPr="00024116" w:rsidRDefault="006D37A3" w:rsidP="009B7A8A">
            <w:pPr>
              <w:jc w:val="both"/>
              <w:rPr>
                <w:rFonts w:ascii="Arial" w:hAnsi="Arial" w:cs="Arial"/>
                <w:i/>
                <w:sz w:val="18"/>
                <w:szCs w:val="18"/>
                <w:highlight w:val="yellow"/>
              </w:rPr>
            </w:pPr>
            <w:r w:rsidRPr="000F0ACD">
              <w:rPr>
                <w:rFonts w:ascii="Arial" w:hAnsi="Arial" w:cs="Arial"/>
                <w:i/>
                <w:sz w:val="18"/>
                <w:szCs w:val="18"/>
                <w:highlight w:val="yellow"/>
              </w:rPr>
              <w:t xml:space="preserve">2015: </w:t>
            </w:r>
            <w:r w:rsidRPr="00255340">
              <w:rPr>
                <w:rFonts w:ascii="Arial" w:hAnsi="Arial" w:cs="Arial"/>
                <w:i/>
                <w:sz w:val="18"/>
                <w:szCs w:val="18"/>
                <w:highlight w:val="yellow"/>
              </w:rPr>
              <w:t>Identifikation von Auslagerungen iVm kritischer oder wesentlicher Funktionen</w:t>
            </w:r>
            <w:r>
              <w:rPr>
                <w:rFonts w:ascii="Arial" w:hAnsi="Arial" w:cs="Arial"/>
                <w:i/>
                <w:sz w:val="18"/>
                <w:szCs w:val="18"/>
                <w:highlight w:val="yellow"/>
              </w:rPr>
              <w:t xml:space="preserve"> (Kritische Beurteilung)</w:t>
            </w:r>
          </w:p>
          <w:p w14:paraId="1D2A935D" w14:textId="77777777" w:rsidR="006D37A3" w:rsidRPr="00024116"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 xml:space="preserve">2016: </w:t>
            </w:r>
            <w:r w:rsidRPr="00255340">
              <w:rPr>
                <w:rFonts w:ascii="Arial" w:hAnsi="Arial" w:cs="Arial"/>
                <w:i/>
                <w:sz w:val="18"/>
                <w:szCs w:val="18"/>
                <w:highlight w:val="yellow"/>
              </w:rPr>
              <w:t>Internes Kontrollsystem von Auslagerungen / Interne Revision der ausgelagerten Tätigkeiten</w:t>
            </w:r>
            <w:r>
              <w:rPr>
                <w:rFonts w:ascii="Arial" w:hAnsi="Arial" w:cs="Arial"/>
                <w:i/>
                <w:sz w:val="18"/>
                <w:szCs w:val="18"/>
                <w:highlight w:val="yellow"/>
              </w:rPr>
              <w:t xml:space="preserve"> (Detailprüfung)</w:t>
            </w:r>
          </w:p>
          <w:p w14:paraId="056422D7" w14:textId="77777777" w:rsidR="006D37A3" w:rsidRPr="00255340" w:rsidRDefault="006D37A3" w:rsidP="009B7A8A">
            <w:pPr>
              <w:jc w:val="both"/>
              <w:rPr>
                <w:rFonts w:ascii="Arial" w:hAnsi="Arial" w:cs="Arial"/>
                <w:i/>
                <w:sz w:val="18"/>
                <w:szCs w:val="18"/>
                <w:highlight w:val="yellow"/>
              </w:rPr>
            </w:pPr>
            <w:r w:rsidRPr="00024116">
              <w:rPr>
                <w:rFonts w:ascii="Arial" w:hAnsi="Arial" w:cs="Arial"/>
                <w:i/>
                <w:sz w:val="18"/>
                <w:szCs w:val="18"/>
                <w:highlight w:val="yellow"/>
              </w:rPr>
              <w:t xml:space="preserve">2017: </w:t>
            </w:r>
            <w:r w:rsidRPr="00255340">
              <w:rPr>
                <w:rFonts w:ascii="Arial" w:hAnsi="Arial" w:cs="Arial"/>
                <w:i/>
                <w:sz w:val="18"/>
                <w:szCs w:val="18"/>
                <w:highlight w:val="yellow"/>
              </w:rPr>
              <w:t>Risikomanagement von Auslagerungen</w:t>
            </w:r>
            <w:r>
              <w:rPr>
                <w:rFonts w:ascii="Arial" w:hAnsi="Arial" w:cs="Arial"/>
                <w:i/>
                <w:sz w:val="18"/>
                <w:szCs w:val="18"/>
                <w:highlight w:val="yellow"/>
              </w:rPr>
              <w:t xml:space="preserve"> (Kritische Beurteilung)</w:t>
            </w:r>
          </w:p>
          <w:p w14:paraId="6D995397" w14:textId="77777777" w:rsidR="006D37A3" w:rsidRPr="006749F0" w:rsidRDefault="006D37A3" w:rsidP="009B7A8A">
            <w:pPr>
              <w:jc w:val="both"/>
              <w:rPr>
                <w:rFonts w:ascii="Arial" w:hAnsi="Arial" w:cs="Arial"/>
                <w:i/>
                <w:sz w:val="18"/>
                <w:szCs w:val="18"/>
              </w:rPr>
            </w:pPr>
            <w:r w:rsidRPr="00255340">
              <w:rPr>
                <w:rFonts w:ascii="Arial" w:hAnsi="Arial" w:cs="Arial"/>
                <w:i/>
                <w:sz w:val="18"/>
                <w:szCs w:val="18"/>
                <w:highlight w:val="yellow"/>
              </w:rPr>
              <w:t>2018: Ausstiegsstrategien (Detailprüfung)</w:t>
            </w:r>
          </w:p>
        </w:tc>
      </w:tr>
      <w:tr w:rsidR="006D37A3" w:rsidRPr="002F34D6" w14:paraId="569BE96E" w14:textId="77777777" w:rsidTr="009B7A8A">
        <w:trPr>
          <w:trHeight w:val="133"/>
        </w:trPr>
        <w:tc>
          <w:tcPr>
            <w:tcW w:w="9740" w:type="dxa"/>
            <w:gridSpan w:val="4"/>
          </w:tcPr>
          <w:p w14:paraId="6C25897D" w14:textId="77777777" w:rsidR="006D37A3" w:rsidRDefault="006D37A3" w:rsidP="009B7A8A">
            <w:pPr>
              <w:jc w:val="both"/>
              <w:rPr>
                <w:rFonts w:ascii="Arial" w:hAnsi="Arial" w:cs="Arial"/>
                <w:sz w:val="18"/>
                <w:szCs w:val="18"/>
              </w:rPr>
            </w:pPr>
          </w:p>
          <w:p w14:paraId="7718754C" w14:textId="77777777" w:rsidR="006D37A3" w:rsidRPr="00F60909" w:rsidRDefault="006D37A3" w:rsidP="009B7A8A">
            <w:pPr>
              <w:jc w:val="both"/>
              <w:rPr>
                <w:rFonts w:ascii="Arial" w:hAnsi="Arial" w:cs="Arial"/>
                <w:sz w:val="18"/>
                <w:szCs w:val="18"/>
                <w:highlight w:val="yellow"/>
              </w:rPr>
            </w:pPr>
            <w:r w:rsidRPr="00F60909">
              <w:rPr>
                <w:rFonts w:ascii="Arial" w:hAnsi="Arial" w:cs="Arial"/>
                <w:sz w:val="18"/>
                <w:szCs w:val="18"/>
              </w:rPr>
              <w:t xml:space="preserve">Referenzen </w:t>
            </w:r>
            <w:r w:rsidRPr="00F60909">
              <w:rPr>
                <w:rFonts w:ascii="Arial" w:hAnsi="Arial" w:cs="Arial"/>
                <w:sz w:val="18"/>
                <w:szCs w:val="18"/>
                <w:highlight w:val="yellow"/>
              </w:rPr>
              <w:t xml:space="preserve">(demonstrativ; nicht abschliessend): </w:t>
            </w:r>
          </w:p>
          <w:p w14:paraId="0058CC3D" w14:textId="77777777" w:rsidR="006D37A3" w:rsidRDefault="006D37A3" w:rsidP="009B7A8A">
            <w:pPr>
              <w:jc w:val="both"/>
              <w:rPr>
                <w:rFonts w:ascii="Arial" w:hAnsi="Arial" w:cs="Arial"/>
                <w:sz w:val="18"/>
                <w:szCs w:val="18"/>
                <w:highlight w:val="yellow"/>
              </w:rPr>
            </w:pPr>
          </w:p>
          <w:p w14:paraId="699FFBBA" w14:textId="51BE3534" w:rsidR="006D37A3" w:rsidRPr="00287F87" w:rsidRDefault="002F34D6" w:rsidP="009B7A8A">
            <w:pPr>
              <w:jc w:val="both"/>
              <w:rPr>
                <w:rFonts w:ascii="Arial" w:hAnsi="Arial" w:cs="Arial"/>
                <w:sz w:val="18"/>
                <w:szCs w:val="18"/>
                <w:highlight w:val="yellow"/>
              </w:rPr>
            </w:pPr>
            <w:r w:rsidRPr="00287F87">
              <w:rPr>
                <w:rFonts w:ascii="Arial" w:hAnsi="Arial" w:cs="Arial"/>
                <w:sz w:val="18"/>
                <w:szCs w:val="18"/>
                <w:highlight w:val="yellow"/>
              </w:rPr>
              <w:t xml:space="preserve">Art. 137 BankG, Art. 76 BankG, </w:t>
            </w:r>
            <w:r w:rsidR="006D37A3" w:rsidRPr="00C51CA3">
              <w:rPr>
                <w:rFonts w:ascii="Arial" w:hAnsi="Arial" w:cs="Arial"/>
                <w:sz w:val="18"/>
                <w:szCs w:val="18"/>
                <w:highlight w:val="yellow"/>
              </w:rPr>
              <w:t>EBA/GL/2021/05; EBA/GL/20</w:t>
            </w:r>
            <w:r w:rsidRPr="00A938AE">
              <w:rPr>
                <w:rFonts w:ascii="Arial" w:hAnsi="Arial" w:cs="Arial"/>
                <w:sz w:val="18"/>
                <w:szCs w:val="18"/>
                <w:highlight w:val="yellow"/>
              </w:rPr>
              <w:t>22</w:t>
            </w:r>
            <w:r w:rsidR="006D37A3" w:rsidRPr="002561FD">
              <w:rPr>
                <w:rFonts w:ascii="Arial" w:hAnsi="Arial" w:cs="Arial"/>
                <w:sz w:val="18"/>
                <w:szCs w:val="18"/>
                <w:highlight w:val="yellow"/>
              </w:rPr>
              <w:t>/03</w:t>
            </w:r>
            <w:r w:rsidR="006D37A3" w:rsidRPr="00C51CA3">
              <w:rPr>
                <w:rFonts w:ascii="Arial" w:hAnsi="Arial" w:cs="Arial"/>
                <w:sz w:val="18"/>
                <w:szCs w:val="18"/>
              </w:rPr>
              <w:t xml:space="preserve">; </w:t>
            </w:r>
            <w:r w:rsidR="006D37A3" w:rsidRPr="00C51CA3">
              <w:rPr>
                <w:rFonts w:ascii="Arial" w:hAnsi="Arial" w:cs="Arial"/>
                <w:sz w:val="18"/>
                <w:szCs w:val="18"/>
                <w:highlight w:val="yellow"/>
              </w:rPr>
              <w:t>EBA/GL/2019/02</w:t>
            </w:r>
          </w:p>
          <w:p w14:paraId="3988F7EC" w14:textId="77777777" w:rsidR="006D37A3" w:rsidRPr="002561FD" w:rsidRDefault="006D37A3" w:rsidP="009B7A8A">
            <w:pPr>
              <w:jc w:val="both"/>
              <w:rPr>
                <w:rFonts w:ascii="Arial" w:hAnsi="Arial" w:cs="Arial"/>
                <w:sz w:val="16"/>
                <w:szCs w:val="16"/>
                <w:highlight w:val="yellow"/>
              </w:rPr>
            </w:pPr>
          </w:p>
        </w:tc>
      </w:tr>
      <w:tr w:rsidR="006D37A3" w:rsidRPr="002F34D6" w14:paraId="1D8697BC" w14:textId="77777777" w:rsidTr="009B7A8A">
        <w:trPr>
          <w:trHeight w:val="294"/>
        </w:trPr>
        <w:tc>
          <w:tcPr>
            <w:tcW w:w="3775" w:type="dxa"/>
            <w:gridSpan w:val="2"/>
          </w:tcPr>
          <w:p w14:paraId="365712DA" w14:textId="77777777" w:rsidR="006D37A3" w:rsidRPr="00287F87" w:rsidRDefault="006D37A3" w:rsidP="009B7A8A">
            <w:pPr>
              <w:jc w:val="both"/>
              <w:rPr>
                <w:rFonts w:ascii="Arial" w:hAnsi="Arial" w:cs="Arial"/>
                <w:sz w:val="18"/>
                <w:szCs w:val="18"/>
              </w:rPr>
            </w:pPr>
          </w:p>
        </w:tc>
        <w:tc>
          <w:tcPr>
            <w:tcW w:w="5965" w:type="dxa"/>
            <w:gridSpan w:val="2"/>
          </w:tcPr>
          <w:p w14:paraId="457B12A2" w14:textId="77777777" w:rsidR="006D37A3" w:rsidRPr="002561FD" w:rsidRDefault="006D37A3" w:rsidP="009B7A8A">
            <w:pPr>
              <w:jc w:val="both"/>
              <w:rPr>
                <w:rFonts w:ascii="Arial" w:hAnsi="Arial" w:cs="Arial"/>
                <w:sz w:val="18"/>
                <w:szCs w:val="18"/>
              </w:rPr>
            </w:pPr>
          </w:p>
        </w:tc>
      </w:tr>
      <w:tr w:rsidR="006D37A3" w:rsidRPr="009872F3" w14:paraId="58A095C2" w14:textId="77777777" w:rsidTr="009B7A8A">
        <w:tc>
          <w:tcPr>
            <w:tcW w:w="5913" w:type="dxa"/>
            <w:gridSpan w:val="3"/>
          </w:tcPr>
          <w:p w14:paraId="4F77DAB1" w14:textId="77777777" w:rsidR="006D37A3" w:rsidRPr="00CB3EE6" w:rsidRDefault="006D37A3" w:rsidP="009B7A8A">
            <w:pPr>
              <w:jc w:val="both"/>
              <w:rPr>
                <w:rFonts w:ascii="Arial" w:hAnsi="Arial" w:cs="Arial"/>
                <w:i/>
                <w:sz w:val="18"/>
                <w:szCs w:val="18"/>
              </w:rPr>
            </w:pPr>
            <w:r w:rsidRPr="00CB3EE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CB3EE6">
              <w:rPr>
                <w:rFonts w:ascii="Arial" w:hAnsi="Arial" w:cs="Arial"/>
                <w:i/>
                <w:sz w:val="18"/>
                <w:szCs w:val="18"/>
                <w:highlight w:val="yellow"/>
              </w:rPr>
              <w:t>Tabelle aufzuführen]</w:t>
            </w:r>
          </w:p>
        </w:tc>
        <w:tc>
          <w:tcPr>
            <w:tcW w:w="3827" w:type="dxa"/>
          </w:tcPr>
          <w:p w14:paraId="440D9882" w14:textId="77777777" w:rsidR="006D37A3" w:rsidRPr="00C3479D" w:rsidRDefault="006D37A3"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D37A3" w:rsidRPr="009872F3" w14:paraId="0F1C9C75" w14:textId="77777777" w:rsidTr="009B7A8A">
        <w:tc>
          <w:tcPr>
            <w:tcW w:w="5913" w:type="dxa"/>
            <w:gridSpan w:val="3"/>
          </w:tcPr>
          <w:p w14:paraId="239E07D9" w14:textId="77777777" w:rsidR="006D37A3" w:rsidRPr="009872F3" w:rsidRDefault="006D37A3" w:rsidP="009B7A8A">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009FD78B" w14:textId="77777777" w:rsidR="006D37A3" w:rsidRPr="00E109DF" w:rsidRDefault="006D37A3" w:rsidP="009B7A8A">
            <w:pPr>
              <w:jc w:val="both"/>
              <w:rPr>
                <w:rFonts w:ascii="Arial" w:hAnsi="Arial" w:cs="Arial"/>
                <w:i/>
                <w:sz w:val="18"/>
                <w:szCs w:val="18"/>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r w:rsidR="006D37A3" w:rsidRPr="009872F3" w14:paraId="6313ECEF" w14:textId="77777777" w:rsidTr="009B7A8A">
        <w:tc>
          <w:tcPr>
            <w:tcW w:w="5913" w:type="dxa"/>
            <w:gridSpan w:val="3"/>
          </w:tcPr>
          <w:p w14:paraId="57AAE761" w14:textId="77777777" w:rsidR="006D37A3" w:rsidRDefault="006D37A3" w:rsidP="009B7A8A">
            <w:pPr>
              <w:jc w:val="both"/>
              <w:rPr>
                <w:rFonts w:ascii="Arial" w:hAnsi="Arial" w:cs="Arial"/>
                <w:sz w:val="18"/>
                <w:szCs w:val="18"/>
              </w:rPr>
            </w:pPr>
            <w:r w:rsidRPr="00667026">
              <w:rPr>
                <w:rFonts w:ascii="Arial" w:hAnsi="Arial" w:cs="Arial"/>
                <w:i/>
                <w:sz w:val="18"/>
                <w:szCs w:val="18"/>
                <w:highlight w:val="yellow"/>
              </w:rPr>
              <w:t xml:space="preserve">[Prüfbestätigung je nach abzudeckendem Prüfelement </w:t>
            </w:r>
            <w:r>
              <w:rPr>
                <w:rFonts w:ascii="Arial" w:hAnsi="Arial" w:cs="Arial"/>
                <w:i/>
                <w:sz w:val="18"/>
                <w:szCs w:val="18"/>
                <w:highlight w:val="yellow"/>
              </w:rPr>
              <w:t xml:space="preserve">aus der untenstehenden </w:t>
            </w:r>
            <w:r w:rsidRPr="00667026">
              <w:rPr>
                <w:rFonts w:ascii="Arial" w:hAnsi="Arial" w:cs="Arial"/>
                <w:i/>
                <w:sz w:val="18"/>
                <w:szCs w:val="18"/>
                <w:highlight w:val="yellow"/>
              </w:rPr>
              <w:t>Tabelle aufzuführen]</w:t>
            </w:r>
          </w:p>
        </w:tc>
        <w:tc>
          <w:tcPr>
            <w:tcW w:w="3827" w:type="dxa"/>
          </w:tcPr>
          <w:p w14:paraId="527B6664" w14:textId="77777777" w:rsidR="006D37A3" w:rsidRPr="00E109DF" w:rsidRDefault="006D37A3" w:rsidP="009B7A8A">
            <w:pPr>
              <w:jc w:val="both"/>
              <w:rPr>
                <w:rFonts w:ascii="Arial" w:hAnsi="Arial" w:cs="Arial"/>
                <w:i/>
                <w:sz w:val="18"/>
                <w:szCs w:val="18"/>
                <w:highlight w:val="yellow"/>
              </w:rPr>
            </w:pPr>
            <w:r w:rsidRPr="00C3479D">
              <w:rPr>
                <w:rFonts w:ascii="Arial" w:hAnsi="Arial" w:cs="Arial"/>
                <w:i/>
                <w:sz w:val="18"/>
                <w:szCs w:val="18"/>
                <w:highlight w:val="yellow"/>
              </w:rPr>
              <w:t>Ja (</w:t>
            </w:r>
            <w:r>
              <w:rPr>
                <w:rFonts w:ascii="Arial" w:hAnsi="Arial" w:cs="Arial"/>
                <w:i/>
                <w:sz w:val="18"/>
                <w:szCs w:val="18"/>
                <w:highlight w:val="yellow"/>
              </w:rPr>
              <w:t>Detailprüfung</w:t>
            </w:r>
            <w:r w:rsidRPr="00C3479D">
              <w:rPr>
                <w:rFonts w:ascii="Arial" w:hAnsi="Arial" w:cs="Arial"/>
                <w:i/>
                <w:sz w:val="18"/>
                <w:szCs w:val="18"/>
                <w:highlight w:val="yellow"/>
              </w:rPr>
              <w:t xml:space="preserve"> / Kritische Beurteilung) / Nein</w:t>
            </w:r>
          </w:p>
        </w:tc>
      </w:tr>
    </w:tbl>
    <w:p w14:paraId="0E75682A" w14:textId="77777777" w:rsidR="006D37A3" w:rsidRDefault="006D37A3" w:rsidP="006D37A3">
      <w:pPr>
        <w:jc w:val="both"/>
      </w:pPr>
    </w:p>
    <w:tbl>
      <w:tblPr>
        <w:tblStyle w:val="Tabellenraster"/>
        <w:tblW w:w="0" w:type="auto"/>
        <w:tblLayout w:type="fixed"/>
        <w:tblLook w:val="04A0" w:firstRow="1" w:lastRow="0" w:firstColumn="1" w:lastColumn="0" w:noHBand="0" w:noVBand="1"/>
      </w:tblPr>
      <w:tblGrid>
        <w:gridCol w:w="1668"/>
        <w:gridCol w:w="5313"/>
        <w:gridCol w:w="2759"/>
      </w:tblGrid>
      <w:tr w:rsidR="006D37A3" w:rsidRPr="00CE3194" w14:paraId="494C58DE" w14:textId="77777777" w:rsidTr="009B7A8A">
        <w:tc>
          <w:tcPr>
            <w:tcW w:w="1668" w:type="dxa"/>
          </w:tcPr>
          <w:p w14:paraId="4929D6D8" w14:textId="77777777" w:rsidR="006D37A3" w:rsidRPr="00CE3194" w:rsidRDefault="006D37A3" w:rsidP="009B7A8A">
            <w:pPr>
              <w:jc w:val="both"/>
              <w:rPr>
                <w:rFonts w:ascii="Arial" w:hAnsi="Arial" w:cs="Arial"/>
                <w:b/>
                <w:i/>
                <w:sz w:val="20"/>
                <w:szCs w:val="20"/>
                <w:highlight w:val="lightGray"/>
              </w:rPr>
            </w:pPr>
            <w:r w:rsidRPr="00CE3194">
              <w:rPr>
                <w:rFonts w:ascii="Arial" w:hAnsi="Arial" w:cs="Arial"/>
                <w:b/>
                <w:i/>
                <w:sz w:val="20"/>
                <w:szCs w:val="20"/>
                <w:highlight w:val="lightGray"/>
              </w:rPr>
              <w:t>Prüfelemente</w:t>
            </w:r>
          </w:p>
        </w:tc>
        <w:tc>
          <w:tcPr>
            <w:tcW w:w="5313" w:type="dxa"/>
          </w:tcPr>
          <w:p w14:paraId="6523F029" w14:textId="77777777" w:rsidR="006D37A3" w:rsidRPr="00CE3194" w:rsidRDefault="006D37A3" w:rsidP="009B7A8A">
            <w:pPr>
              <w:jc w:val="both"/>
              <w:rPr>
                <w:rFonts w:ascii="Arial" w:hAnsi="Arial" w:cs="Arial"/>
                <w:b/>
                <w:i/>
                <w:sz w:val="20"/>
                <w:szCs w:val="20"/>
                <w:highlight w:val="lightGray"/>
              </w:rPr>
            </w:pPr>
            <w:r>
              <w:rPr>
                <w:rFonts w:ascii="Arial" w:hAnsi="Arial" w:cs="Arial"/>
                <w:b/>
                <w:i/>
                <w:sz w:val="20"/>
                <w:szCs w:val="20"/>
                <w:highlight w:val="lightGray"/>
              </w:rPr>
              <w:t>Mindestprüfinhalte</w:t>
            </w:r>
          </w:p>
        </w:tc>
        <w:tc>
          <w:tcPr>
            <w:tcW w:w="2759" w:type="dxa"/>
          </w:tcPr>
          <w:p w14:paraId="2EC150FA" w14:textId="77777777" w:rsidR="006D37A3" w:rsidRDefault="006D37A3" w:rsidP="009B7A8A">
            <w:pPr>
              <w:jc w:val="both"/>
              <w:rPr>
                <w:rFonts w:ascii="Arial" w:hAnsi="Arial" w:cs="Arial"/>
                <w:b/>
                <w:i/>
                <w:sz w:val="20"/>
                <w:szCs w:val="20"/>
                <w:highlight w:val="lightGray"/>
              </w:rPr>
            </w:pPr>
            <w:r>
              <w:rPr>
                <w:rFonts w:ascii="Arial" w:hAnsi="Arial" w:cs="Arial"/>
                <w:b/>
                <w:i/>
                <w:sz w:val="20"/>
                <w:szCs w:val="20"/>
                <w:highlight w:val="lightGray"/>
              </w:rPr>
              <w:t>Bestätigungen</w:t>
            </w:r>
          </w:p>
        </w:tc>
      </w:tr>
      <w:tr w:rsidR="006D37A3" w:rsidRPr="00CE3194" w14:paraId="62523FBC" w14:textId="77777777" w:rsidTr="009B7A8A">
        <w:tc>
          <w:tcPr>
            <w:tcW w:w="1668" w:type="dxa"/>
          </w:tcPr>
          <w:p w14:paraId="10FA1285" w14:textId="77777777" w:rsidR="006D37A3" w:rsidRPr="005905B2" w:rsidRDefault="006D37A3" w:rsidP="009B7A8A">
            <w:pPr>
              <w:jc w:val="both"/>
              <w:rPr>
                <w:rFonts w:ascii="Arial" w:hAnsi="Arial" w:cs="Arial"/>
                <w:i/>
                <w:sz w:val="20"/>
                <w:szCs w:val="20"/>
                <w:highlight w:val="lightGray"/>
              </w:rPr>
            </w:pPr>
            <w:r>
              <w:rPr>
                <w:rFonts w:ascii="Arial" w:hAnsi="Arial" w:cs="Arial"/>
                <w:i/>
                <w:sz w:val="20"/>
                <w:szCs w:val="20"/>
                <w:highlight w:val="lightGray"/>
              </w:rPr>
              <w:t xml:space="preserve">Auslagerungspolitik / -richtlinien </w:t>
            </w:r>
          </w:p>
        </w:tc>
        <w:tc>
          <w:tcPr>
            <w:tcW w:w="5313" w:type="dxa"/>
          </w:tcPr>
          <w:p w14:paraId="64A531EF"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Auslagerungspolitik sowie die internen Verfahren stellen die Einhaltung der regulatorischen Bestimmungen sicher</w:t>
            </w:r>
          </w:p>
          <w:p w14:paraId="307991D1"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Auslagerungsrichtlinien sind angemessen ausgestaltet und decken zumindest folgende Gesichtspunkte ab:</w:t>
            </w:r>
          </w:p>
          <w:p w14:paraId="42DBB94C" w14:textId="0440AB0C"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 xml:space="preserve">Zuständigkeiten </w:t>
            </w:r>
          </w:p>
          <w:p w14:paraId="02605F32"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Einbindung der Geschäftsbereiche und der internen Kontrollfunktionen</w:t>
            </w:r>
          </w:p>
          <w:p w14:paraId="4630B8B0"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Planung von Auslagerungsvereinbarungen</w:t>
            </w:r>
          </w:p>
          <w:p w14:paraId="562A0245"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Umsetzung, Überwachung und das Management von Auslagerungsvereinbarungen</w:t>
            </w:r>
          </w:p>
          <w:p w14:paraId="24A5E2BE"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Dokumentation von Auslagerungsvereinbarungen</w:t>
            </w:r>
          </w:p>
          <w:p w14:paraId="0AF8460E" w14:textId="77777777" w:rsidR="006D37A3" w:rsidRDefault="006D37A3" w:rsidP="009B7A8A">
            <w:pPr>
              <w:pStyle w:val="Listenabsatz"/>
              <w:numPr>
                <w:ilvl w:val="2"/>
                <w:numId w:val="17"/>
              </w:numPr>
              <w:ind w:left="742"/>
              <w:jc w:val="both"/>
              <w:rPr>
                <w:rFonts w:cs="Arial"/>
                <w:i/>
                <w:szCs w:val="20"/>
                <w:highlight w:val="lightGray"/>
              </w:rPr>
            </w:pPr>
            <w:r>
              <w:rPr>
                <w:rFonts w:cs="Arial"/>
                <w:i/>
                <w:szCs w:val="20"/>
                <w:highlight w:val="lightGray"/>
              </w:rPr>
              <w:t xml:space="preserve">Ausstiegsszenarien und Kündigungsverfahren inkl. eines dokumentierten Ausstiegsplans für jede auszulagernde kritische oder wesentliche Funktion </w:t>
            </w:r>
          </w:p>
          <w:p w14:paraId="71A42EF2" w14:textId="3FEEA97A"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wurden genehmigt</w:t>
            </w:r>
          </w:p>
          <w:p w14:paraId="42A9EC08"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regelmässig überprüft und aktualisiert</w:t>
            </w:r>
          </w:p>
          <w:p w14:paraId="0BD0BAF6" w14:textId="77777777" w:rsidR="006D37A3" w:rsidRPr="005905B2"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Auslagerungsrichtlinien werden angemessen umgesetzt</w:t>
            </w:r>
          </w:p>
        </w:tc>
        <w:tc>
          <w:tcPr>
            <w:tcW w:w="2759" w:type="dxa"/>
          </w:tcPr>
          <w:p w14:paraId="61A130DA" w14:textId="77777777" w:rsidR="006D37A3" w:rsidRDefault="006D37A3" w:rsidP="009B7A8A">
            <w:pPr>
              <w:pStyle w:val="Listenabsatz"/>
              <w:numPr>
                <w:ilvl w:val="1"/>
                <w:numId w:val="17"/>
              </w:numPr>
              <w:ind w:left="317" w:hanging="283"/>
              <w:jc w:val="both"/>
              <w:rPr>
                <w:rFonts w:cs="Arial"/>
                <w:i/>
                <w:szCs w:val="20"/>
                <w:highlight w:val="lightGray"/>
              </w:rPr>
            </w:pPr>
            <w:r w:rsidRPr="000C756C">
              <w:rPr>
                <w:rFonts w:cs="Arial"/>
                <w:i/>
                <w:szCs w:val="20"/>
                <w:highlight w:val="lightGray"/>
              </w:rPr>
              <w:lastRenderedPageBreak/>
              <w:t xml:space="preserve">Bestätigung, dass </w:t>
            </w:r>
            <w:r w:rsidRPr="00255340">
              <w:rPr>
                <w:rFonts w:cs="Arial"/>
                <w:i/>
                <w:szCs w:val="20"/>
                <w:highlight w:val="lightGray"/>
              </w:rPr>
              <w:t xml:space="preserve">eine angemessene Auslagerungspolitik zu Auslagerungen sowie interne </w:t>
            </w:r>
            <w:r w:rsidRPr="00255340">
              <w:rPr>
                <w:rFonts w:cs="Arial"/>
                <w:i/>
                <w:szCs w:val="20"/>
                <w:highlight w:val="lightGray"/>
              </w:rPr>
              <w:lastRenderedPageBreak/>
              <w:t xml:space="preserve">Verfahren bestehen, die die Einhaltung der </w:t>
            </w:r>
            <w:r>
              <w:rPr>
                <w:rFonts w:cs="Arial"/>
                <w:i/>
                <w:szCs w:val="20"/>
                <w:highlight w:val="lightGray"/>
              </w:rPr>
              <w:t>regulatorischen</w:t>
            </w:r>
            <w:r w:rsidRPr="00255340">
              <w:rPr>
                <w:rFonts w:cs="Arial"/>
                <w:i/>
                <w:szCs w:val="20"/>
                <w:highlight w:val="lightGray"/>
              </w:rPr>
              <w:t xml:space="preserve"> Bestimmungen zu Auslagerungen sicherstellen</w:t>
            </w:r>
          </w:p>
          <w:p w14:paraId="7FDC11F4" w14:textId="77777777" w:rsidR="006D37A3" w:rsidRPr="000C756C"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die internen Auslagerungsrichtlinien angemessen ausgestaltet sind, regelmässig überprüft und aktualisiert werden</w:t>
            </w:r>
          </w:p>
          <w:p w14:paraId="38A9BA06" w14:textId="77777777" w:rsidR="006D37A3" w:rsidRPr="000C756C" w:rsidRDefault="006D37A3" w:rsidP="009B7A8A">
            <w:pPr>
              <w:pStyle w:val="Listenabsatz"/>
              <w:ind w:left="1440"/>
              <w:jc w:val="both"/>
              <w:rPr>
                <w:rFonts w:cs="Arial"/>
                <w:i/>
                <w:szCs w:val="20"/>
                <w:highlight w:val="lightGray"/>
              </w:rPr>
            </w:pPr>
          </w:p>
        </w:tc>
      </w:tr>
      <w:tr w:rsidR="006D37A3" w:rsidRPr="00CE3194" w14:paraId="7BC35ED4" w14:textId="77777777" w:rsidTr="009B7A8A">
        <w:tc>
          <w:tcPr>
            <w:tcW w:w="1668" w:type="dxa"/>
          </w:tcPr>
          <w:p w14:paraId="0863FB0C"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lastRenderedPageBreak/>
              <w:t>Analyse vor der Auslagerung</w:t>
            </w:r>
          </w:p>
        </w:tc>
        <w:tc>
          <w:tcPr>
            <w:tcW w:w="5313" w:type="dxa"/>
          </w:tcPr>
          <w:p w14:paraId="7EA2B67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vor der Auslagerung die aufsichtlichen Bedingungen für eine Auslagerung geprüft werden und erfüllt sind</w:t>
            </w:r>
          </w:p>
          <w:p w14:paraId="433F4C39" w14:textId="0B54F50B"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Risiken der Auslagerungsvereinbarung im Vorfeld ermittelt und bewertet werden</w:t>
            </w:r>
          </w:p>
          <w:p w14:paraId="6E5C01B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ein angemessenes Auswahl- und Bewertungsverfahren (Due-Diligence-Prüfung) des künftigen Dienstleisters* sicher</w:t>
            </w:r>
          </w:p>
          <w:p w14:paraId="7152F532" w14:textId="79A50B30" w:rsidR="006D37A3" w:rsidRDefault="006D37A3" w:rsidP="009B7A8A">
            <w:pPr>
              <w:pStyle w:val="Listenabsatz"/>
              <w:numPr>
                <w:ilvl w:val="1"/>
                <w:numId w:val="17"/>
              </w:numPr>
              <w:ind w:left="317" w:hanging="283"/>
              <w:jc w:val="both"/>
              <w:rPr>
                <w:rFonts w:cs="Arial"/>
                <w:i/>
                <w:szCs w:val="20"/>
                <w:highlight w:val="lightGray"/>
              </w:rPr>
            </w:pPr>
          </w:p>
        </w:tc>
        <w:tc>
          <w:tcPr>
            <w:tcW w:w="2759" w:type="dxa"/>
          </w:tcPr>
          <w:p w14:paraId="16956153" w14:textId="77777777" w:rsidR="006D37A3" w:rsidRPr="000C756C"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angemessene interne Verfahren für die Analyse des Dienstleister und der auszulagernden Funktionen/Prozesse/Dienstleistungen vor der effektiven Auslagerung bestehen, die die Prüfung der aufsichtlichen Bedingungen, die Berücksichtigung wesentlicher Risiken, eine angemessene Due-Diligence-Prüfung und die Analyse von Interessenskonflikte berücksichtigen</w:t>
            </w:r>
          </w:p>
        </w:tc>
      </w:tr>
      <w:tr w:rsidR="006D37A3" w:rsidRPr="00CE3194" w14:paraId="6397230D" w14:textId="77777777" w:rsidTr="009B7A8A">
        <w:tc>
          <w:tcPr>
            <w:tcW w:w="1668" w:type="dxa"/>
          </w:tcPr>
          <w:p w14:paraId="1119D544"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Auslagerungsvereinbarungen</w:t>
            </w:r>
          </w:p>
        </w:tc>
        <w:tc>
          <w:tcPr>
            <w:tcW w:w="5313" w:type="dxa"/>
          </w:tcPr>
          <w:p w14:paraId="27175B0F"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für sämtliche ausgelagerte Funktionen/Prozesse/Dienstleistungen schriftliche Auslagerungsvereinbarungen abgeschlossen werden</w:t>
            </w:r>
          </w:p>
          <w:p w14:paraId="460D219F" w14:textId="66451FB6"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die Auslagerungsvereinbarung die Rechte und Pflichten des Dienstleisters und der </w:t>
            </w:r>
            <w:r w:rsidR="004726B7">
              <w:rPr>
                <w:rFonts w:cs="Arial"/>
                <w:i/>
                <w:szCs w:val="20"/>
                <w:highlight w:val="lightGray"/>
              </w:rPr>
              <w:t>bewilligten (gemischten) Finanzholdinggesellschaft</w:t>
            </w:r>
            <w:r>
              <w:rPr>
                <w:rFonts w:cs="Arial"/>
                <w:i/>
                <w:szCs w:val="20"/>
                <w:highlight w:val="lightGray"/>
              </w:rPr>
              <w:t xml:space="preserve">, die Ziele und Massnahmen bzgl. der Informationssicherheit (Cybersicherheit, Datenlebenszyklus, Datenverschlüsselung, Standort Rechenzentren etc.), die Prozesse zur Behandlung, Eskalations- und Berichterstattung von Betriebs- und Sicherheitsvorfällen eindeutig festlegt </w:t>
            </w:r>
          </w:p>
          <w:p w14:paraId="00CF9C12"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die Auslagerungsvereinbarung darlegt, ob Weiterverlagerungen von kritischen oder wesentlichen Funktionen zulässig sind oder nicht</w:t>
            </w:r>
          </w:p>
          <w:p w14:paraId="37A300B5"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lastRenderedPageBreak/>
              <w:t>Die Auslagerungsvereinbarung beinhaltet Kündigungsrechte</w:t>
            </w:r>
          </w:p>
          <w:p w14:paraId="035EF301" w14:textId="090BFC5D" w:rsidR="006D37A3" w:rsidRPr="00DE266B"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Die Auslagerungsvereinbarungen stellen sicher, dass die</w:t>
            </w:r>
            <w:r w:rsidR="004726B7">
              <w:rPr>
                <w:rFonts w:cs="Arial"/>
                <w:i/>
                <w:szCs w:val="20"/>
                <w:highlight w:val="lightGray"/>
              </w:rPr>
              <w:t xml:space="preserve"> bewilligte (gemischte) Finanzholdinggesellschaft</w:t>
            </w:r>
            <w:r w:rsidRPr="0070592D">
              <w:rPr>
                <w:rFonts w:cs="Arial"/>
                <w:i/>
                <w:szCs w:val="20"/>
                <w:highlight w:val="lightGray"/>
              </w:rPr>
              <w:t xml:space="preserve">, die interne und externe </w:t>
            </w:r>
            <w:r w:rsidR="009F1ACA">
              <w:rPr>
                <w:rFonts w:cs="Arial"/>
                <w:i/>
                <w:szCs w:val="20"/>
                <w:highlight w:val="lightGray"/>
              </w:rPr>
              <w:t>Revisionsstelle</w:t>
            </w:r>
            <w:r w:rsidRPr="0070592D">
              <w:rPr>
                <w:rFonts w:cs="Arial"/>
                <w:i/>
                <w:szCs w:val="20"/>
                <w:highlight w:val="lightGray"/>
              </w:rPr>
              <w:t xml:space="preserve"> sowie die FMA über uneingeschränkte Zugangs-, Informations- und Prüfungsrechte zu den ausgelagerten Diensten, Systemen und Cloud-Services </w:t>
            </w:r>
            <w:r>
              <w:rPr>
                <w:rFonts w:cs="Arial"/>
                <w:i/>
                <w:szCs w:val="20"/>
                <w:highlight w:val="lightGray"/>
              </w:rPr>
              <w:t>gemäss den einschlägigen Bestimmungen verfügt</w:t>
            </w:r>
            <w:r w:rsidRPr="0070592D">
              <w:rPr>
                <w:rFonts w:cs="Arial"/>
                <w:i/>
                <w:szCs w:val="20"/>
                <w:highlight w:val="lightGray"/>
              </w:rPr>
              <w:t xml:space="preserve"> </w:t>
            </w:r>
            <w:r>
              <w:rPr>
                <w:rFonts w:cs="Arial"/>
                <w:i/>
                <w:szCs w:val="20"/>
                <w:highlight w:val="lightGray"/>
              </w:rPr>
              <w:t xml:space="preserve">(bei kritisch/wesentlich und bei unkritisch/wesentlich) </w:t>
            </w:r>
            <w:r w:rsidRPr="0070592D">
              <w:rPr>
                <w:rFonts w:cs="Arial"/>
                <w:i/>
                <w:szCs w:val="20"/>
                <w:highlight w:val="lightGray"/>
              </w:rPr>
              <w:t>verfügt (im Falle einer Weiterverlagerung auch gegenüber Subunternehmen)</w:t>
            </w:r>
            <w:r>
              <w:rPr>
                <w:rFonts w:cs="Arial"/>
                <w:i/>
                <w:szCs w:val="20"/>
                <w:highlight w:val="lightGray"/>
              </w:rPr>
              <w:t xml:space="preserve"> </w:t>
            </w:r>
          </w:p>
        </w:tc>
        <w:tc>
          <w:tcPr>
            <w:tcW w:w="2759" w:type="dxa"/>
          </w:tcPr>
          <w:p w14:paraId="6C9D24B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Bestätigung, dass die internen Verfahren sicherstellen, dass die schriftlichen Auslagerungsvereinbarungen angemessen ausgestaltet sind</w:t>
            </w:r>
          </w:p>
        </w:tc>
      </w:tr>
      <w:tr w:rsidR="006D37A3" w:rsidRPr="00CE3194" w14:paraId="38DF521E" w14:textId="77777777" w:rsidTr="009B7A8A">
        <w:tc>
          <w:tcPr>
            <w:tcW w:w="1668" w:type="dxa"/>
          </w:tcPr>
          <w:p w14:paraId="38289326"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Identifikation von Auslagerungen iVm kritischer oder wesentlicher Funktionen</w:t>
            </w:r>
          </w:p>
        </w:tc>
        <w:tc>
          <w:tcPr>
            <w:tcW w:w="5313" w:type="dxa"/>
          </w:tcPr>
          <w:p w14:paraId="686B3231" w14:textId="057DDBDF"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die angemessene Identifikation der kritischen oder wesentlichen ausgelagerten Funktionen/Prozesse/Dienstleistungen der </w:t>
            </w:r>
            <w:r w:rsidR="004726B7">
              <w:rPr>
                <w:rFonts w:cs="Arial"/>
                <w:i/>
                <w:szCs w:val="20"/>
                <w:highlight w:val="lightGray"/>
              </w:rPr>
              <w:t>bewilligten (gemischten) Finanzholdinggesellschaft</w:t>
            </w:r>
            <w:r>
              <w:rPr>
                <w:rFonts w:cs="Arial"/>
                <w:i/>
                <w:szCs w:val="20"/>
                <w:highlight w:val="lightGray"/>
              </w:rPr>
              <w:t xml:space="preserve"> gemäss regulatorischer und interner Bestimmungen sicher</w:t>
            </w:r>
          </w:p>
          <w:p w14:paraId="73717796" w14:textId="5FF4AC1A"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bei Weiterverlagerung von kritischen oder wesentlichen Funktionen sicher, dass die Auslagerungsvereinbarung die vorgegebenen regulatorischen Mindestinhalte beinhaltet: Angaben von Tätigkeiten die von einer Weiterverlagerung ausgeschlossen sind; Bedingungen, die bei der Weiterverlagerung vom Dienstleister einzuhalten sind; die Überwachungspflichten des Dienstleisters; die Genehmigungs- und Informationspflichten des Dienstleisters, die Kündigungsrechte für </w:t>
            </w:r>
            <w:r w:rsidR="004726B7">
              <w:rPr>
                <w:rFonts w:cs="Arial"/>
                <w:i/>
                <w:szCs w:val="20"/>
                <w:highlight w:val="lightGray"/>
              </w:rPr>
              <w:t>bewilligte (gemischte) Finanzholdinggesellschaft</w:t>
            </w:r>
            <w:r>
              <w:rPr>
                <w:rFonts w:cs="Arial"/>
                <w:i/>
                <w:szCs w:val="20"/>
                <w:highlight w:val="lightGray"/>
              </w:rPr>
              <w:t xml:space="preserve"> im Falle einer unzulässigen Weiterverlagerung durch den Dienstleister</w:t>
            </w:r>
          </w:p>
        </w:tc>
        <w:tc>
          <w:tcPr>
            <w:tcW w:w="2759" w:type="dxa"/>
          </w:tcPr>
          <w:p w14:paraId="6A71DDEE" w14:textId="0005BAC3" w:rsidR="006D37A3" w:rsidRPr="00255340"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 xml:space="preserve">Bestätigung, dass die internen Verfahren die angemessene Definition der kritischen oder wesentlichen ausgelagerten Funktionen/Prozesse/Dienstleistungen </w:t>
            </w:r>
            <w:r>
              <w:rPr>
                <w:rFonts w:cs="Arial"/>
                <w:i/>
                <w:szCs w:val="20"/>
                <w:highlight w:val="lightGray"/>
              </w:rPr>
              <w:t xml:space="preserve">der </w:t>
            </w:r>
            <w:r w:rsidR="004726B7">
              <w:rPr>
                <w:rFonts w:cs="Arial"/>
                <w:i/>
                <w:szCs w:val="20"/>
                <w:highlight w:val="lightGray"/>
              </w:rPr>
              <w:t>bewilligten (gemischten) Finanzholdinggesellschaft</w:t>
            </w:r>
            <w:r>
              <w:rPr>
                <w:rFonts w:cs="Arial"/>
                <w:i/>
                <w:szCs w:val="20"/>
                <w:highlight w:val="lightGray"/>
              </w:rPr>
              <w:t xml:space="preserve"> </w:t>
            </w:r>
            <w:r w:rsidRPr="00255340">
              <w:rPr>
                <w:rFonts w:cs="Arial"/>
                <w:i/>
                <w:szCs w:val="20"/>
                <w:highlight w:val="lightGray"/>
              </w:rPr>
              <w:t xml:space="preserve">gemäss regulatorischer </w:t>
            </w:r>
            <w:r>
              <w:rPr>
                <w:rFonts w:cs="Arial"/>
                <w:i/>
                <w:szCs w:val="20"/>
                <w:highlight w:val="lightGray"/>
              </w:rPr>
              <w:t>und interner Bestimmungen</w:t>
            </w:r>
            <w:r w:rsidRPr="00255340">
              <w:rPr>
                <w:rFonts w:cs="Arial"/>
                <w:i/>
                <w:szCs w:val="20"/>
                <w:highlight w:val="lightGray"/>
              </w:rPr>
              <w:t xml:space="preserve"> sicherstellen</w:t>
            </w:r>
          </w:p>
          <w:p w14:paraId="2D5BE14F"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bei der Weiterverlagerung von kritischen oder wesentlichen Funktionen die Auslagerungsvereinbarung die vorgegebenen regulatorischen Mindestinhalte beinhaltet</w:t>
            </w:r>
          </w:p>
        </w:tc>
      </w:tr>
      <w:tr w:rsidR="006D37A3" w:rsidRPr="00CE3194" w14:paraId="59708AFB" w14:textId="77777777" w:rsidTr="009B7A8A">
        <w:tc>
          <w:tcPr>
            <w:tcW w:w="1668" w:type="dxa"/>
          </w:tcPr>
          <w:p w14:paraId="6A5E0823"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Internes Kontrollsystem von Auslagerungen</w:t>
            </w:r>
          </w:p>
        </w:tc>
        <w:tc>
          <w:tcPr>
            <w:tcW w:w="5313" w:type="dxa"/>
          </w:tcPr>
          <w:p w14:paraId="346B0C3E"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Verantwortlichkeiten und Kompetenzen </w:t>
            </w:r>
            <w:r>
              <w:rPr>
                <w:rFonts w:cs="Arial"/>
                <w:i/>
                <w:szCs w:val="20"/>
                <w:highlight w:val="lightGray"/>
              </w:rPr>
              <w:t xml:space="preserve">für die Dokumentation, das Management und die Kontrolle von Auslagerungsvereinbarungen </w:t>
            </w:r>
            <w:r w:rsidRPr="00CE3194">
              <w:rPr>
                <w:rFonts w:cs="Arial"/>
                <w:i/>
                <w:szCs w:val="20"/>
                <w:highlight w:val="lightGray"/>
              </w:rPr>
              <w:t xml:space="preserve">sind klar </w:t>
            </w:r>
            <w:r>
              <w:rPr>
                <w:rFonts w:cs="Arial"/>
                <w:i/>
                <w:szCs w:val="20"/>
                <w:highlight w:val="lightGray"/>
              </w:rPr>
              <w:t>und angemessen</w:t>
            </w:r>
            <w:r w:rsidRPr="00CE3194">
              <w:rPr>
                <w:rFonts w:cs="Arial"/>
                <w:i/>
                <w:szCs w:val="20"/>
                <w:highlight w:val="lightGray"/>
              </w:rPr>
              <w:t xml:space="preserve"> geregelt; </w:t>
            </w:r>
          </w:p>
          <w:p w14:paraId="09C18516" w14:textId="77777777" w:rsidR="006D37A3" w:rsidRPr="002A0999"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Die Verantwortlichkeiten und Kompetenzen zur Instruktion, Steuerung und Überwachung von </w:t>
            </w:r>
            <w:r>
              <w:rPr>
                <w:rFonts w:cs="Arial"/>
                <w:i/>
                <w:szCs w:val="20"/>
                <w:highlight w:val="lightGray"/>
              </w:rPr>
              <w:t>Dienstleistern</w:t>
            </w:r>
            <w:r w:rsidRPr="0070592D">
              <w:rPr>
                <w:rFonts w:cs="Arial"/>
                <w:i/>
                <w:szCs w:val="20"/>
                <w:highlight w:val="lightGray"/>
              </w:rPr>
              <w:t xml:space="preserve"> sind durch die angemessene Ausgestaltung der Auslagerungsfunktion klar geregelt. </w:t>
            </w:r>
          </w:p>
          <w:p w14:paraId="601B594F"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Es besteht eine angemessene Funktionentrennung zwischen </w:t>
            </w:r>
            <w:r>
              <w:rPr>
                <w:rFonts w:cs="Arial"/>
                <w:i/>
                <w:szCs w:val="20"/>
                <w:highlight w:val="lightGray"/>
              </w:rPr>
              <w:t xml:space="preserve">dem Management und der Kontrolle von Auslagerungsvereinbarungen </w:t>
            </w:r>
          </w:p>
          <w:p w14:paraId="143E0E02" w14:textId="77777777" w:rsidR="006D37A3" w:rsidRPr="00784864"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besteht ein angemessener Prozess zur ordnungsgemässen Überwachung und Bewertung von </w:t>
            </w:r>
            <w:r>
              <w:rPr>
                <w:rFonts w:cs="Arial"/>
                <w:i/>
                <w:szCs w:val="20"/>
                <w:highlight w:val="lightGray"/>
              </w:rPr>
              <w:t>Dienstleistern</w:t>
            </w:r>
            <w:r w:rsidRPr="0070592D">
              <w:rPr>
                <w:rFonts w:cs="Arial"/>
                <w:i/>
                <w:szCs w:val="20"/>
                <w:highlight w:val="lightGray"/>
              </w:rPr>
              <w:t xml:space="preserve"> (</w:t>
            </w:r>
            <w:r>
              <w:rPr>
                <w:rFonts w:cs="Arial"/>
                <w:i/>
                <w:szCs w:val="20"/>
                <w:highlight w:val="lightGray"/>
              </w:rPr>
              <w:t xml:space="preserve">z.B. </w:t>
            </w:r>
            <w:r w:rsidRPr="0070592D">
              <w:rPr>
                <w:rFonts w:cs="Arial"/>
                <w:i/>
                <w:szCs w:val="20"/>
                <w:highlight w:val="lightGray"/>
              </w:rPr>
              <w:t>Service Reports, Bewertungsprogramm, KPIs etc.) und ihrer Leistungserbringung (Aufdeckung, Beurteilung und Behebung von Mängeln)</w:t>
            </w:r>
          </w:p>
          <w:p w14:paraId="2BAC2231" w14:textId="77777777" w:rsidR="006D37A3" w:rsidRDefault="006D37A3" w:rsidP="009B7A8A">
            <w:pPr>
              <w:pStyle w:val="Listenabsatz"/>
              <w:numPr>
                <w:ilvl w:val="1"/>
                <w:numId w:val="17"/>
              </w:numPr>
              <w:ind w:left="317" w:hanging="283"/>
              <w:jc w:val="both"/>
              <w:rPr>
                <w:rFonts w:cs="Arial"/>
                <w:i/>
                <w:szCs w:val="20"/>
                <w:highlight w:val="lightGray"/>
              </w:rPr>
            </w:pPr>
            <w:r w:rsidRPr="0070592D">
              <w:rPr>
                <w:rFonts w:cs="Arial"/>
                <w:i/>
                <w:szCs w:val="20"/>
                <w:highlight w:val="lightGray"/>
              </w:rPr>
              <w:t xml:space="preserve">Es bestehen angemessene Verfahren zur Beurteilung oder zur Gewährleistung von Schlüsselkontrollen, die an die </w:t>
            </w:r>
            <w:r>
              <w:rPr>
                <w:rFonts w:cs="Arial"/>
                <w:i/>
                <w:szCs w:val="20"/>
                <w:highlight w:val="lightGray"/>
              </w:rPr>
              <w:t>Dienstleister</w:t>
            </w:r>
            <w:r w:rsidRPr="0070592D">
              <w:rPr>
                <w:rFonts w:cs="Arial"/>
                <w:i/>
                <w:szCs w:val="20"/>
                <w:highlight w:val="lightGray"/>
              </w:rPr>
              <w:t xml:space="preserve"> ausgelagert wurden (z.B. unabhängige Beurteilungen, etc.)</w:t>
            </w:r>
          </w:p>
          <w:p w14:paraId="05A885E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lastRenderedPageBreak/>
              <w:t xml:space="preserve">Es bestehen angemessene Verfahren zur </w:t>
            </w:r>
            <w:r>
              <w:rPr>
                <w:rFonts w:cs="Arial"/>
                <w:i/>
                <w:szCs w:val="20"/>
                <w:highlight w:val="lightGray"/>
              </w:rPr>
              <w:t xml:space="preserve">Erkennung, </w:t>
            </w:r>
            <w:r w:rsidRPr="00CE3194">
              <w:rPr>
                <w:rFonts w:cs="Arial"/>
                <w:i/>
                <w:szCs w:val="20"/>
                <w:highlight w:val="lightGray"/>
              </w:rPr>
              <w:t>Vermeidung,</w:t>
            </w:r>
            <w:r>
              <w:rPr>
                <w:rFonts w:cs="Arial"/>
                <w:i/>
                <w:szCs w:val="20"/>
                <w:highlight w:val="lightGray"/>
              </w:rPr>
              <w:t xml:space="preserve"> Bewertung,</w:t>
            </w:r>
            <w:r w:rsidRPr="00CE3194">
              <w:rPr>
                <w:rFonts w:cs="Arial"/>
                <w:i/>
                <w:szCs w:val="20"/>
                <w:highlight w:val="lightGray"/>
              </w:rPr>
              <w:t xml:space="preserve"> Reduzierung und Offenlegung von Interessenkonflikten</w:t>
            </w:r>
            <w:r>
              <w:rPr>
                <w:rFonts w:cs="Arial"/>
                <w:i/>
                <w:szCs w:val="20"/>
                <w:highlight w:val="lightGray"/>
              </w:rPr>
              <w:t xml:space="preserve"> hinsichtlich der Auslagerungsvereinbarungen</w:t>
            </w:r>
          </w:p>
          <w:p w14:paraId="2D248E36" w14:textId="77777777" w:rsidR="006D37A3" w:rsidRPr="005F3514" w:rsidRDefault="006D37A3" w:rsidP="009B7A8A">
            <w:pPr>
              <w:pStyle w:val="Listenabsatz"/>
              <w:numPr>
                <w:ilvl w:val="1"/>
                <w:numId w:val="17"/>
              </w:numPr>
              <w:ind w:left="317" w:hanging="283"/>
              <w:jc w:val="both"/>
              <w:rPr>
                <w:rFonts w:cs="Arial"/>
                <w:i/>
                <w:szCs w:val="20"/>
                <w:highlight w:val="lightGray"/>
              </w:rPr>
            </w:pPr>
            <w:r w:rsidRPr="004D71A2">
              <w:rPr>
                <w:rFonts w:cs="Arial"/>
                <w:i/>
                <w:szCs w:val="20"/>
                <w:highlight w:val="lightGray"/>
              </w:rPr>
              <w:t>Es bestehen</w:t>
            </w:r>
            <w:r>
              <w:rPr>
                <w:rFonts w:cs="Arial"/>
                <w:i/>
                <w:szCs w:val="20"/>
                <w:highlight w:val="lightGray"/>
              </w:rPr>
              <w:t xml:space="preserve"> </w:t>
            </w:r>
            <w:r w:rsidRPr="005F3514">
              <w:rPr>
                <w:rFonts w:cs="Arial"/>
                <w:i/>
                <w:szCs w:val="20"/>
                <w:highlight w:val="lightGray"/>
              </w:rPr>
              <w:t>angemessene Personalressourcen (A</w:t>
            </w:r>
            <w:r w:rsidRPr="003021FD">
              <w:rPr>
                <w:rFonts w:cs="Arial"/>
                <w:i/>
                <w:szCs w:val="20"/>
                <w:highlight w:val="lightGray"/>
              </w:rPr>
              <w:t>n</w:t>
            </w:r>
            <w:r w:rsidRPr="004D71A2">
              <w:rPr>
                <w:rFonts w:cs="Arial"/>
                <w:i/>
                <w:szCs w:val="20"/>
                <w:highlight w:val="lightGray"/>
              </w:rPr>
              <w:t>zahl, Eignung, Zuverlässi</w:t>
            </w:r>
            <w:r w:rsidRPr="003021FD">
              <w:rPr>
                <w:rFonts w:cs="Arial"/>
                <w:i/>
                <w:szCs w:val="20"/>
                <w:highlight w:val="lightGray"/>
              </w:rPr>
              <w:t>g</w:t>
            </w:r>
            <w:r w:rsidRPr="004D71A2">
              <w:rPr>
                <w:rFonts w:cs="Arial"/>
                <w:i/>
                <w:szCs w:val="20"/>
                <w:highlight w:val="lightGray"/>
              </w:rPr>
              <w:t>keit) um ein angemessenes Manag</w:t>
            </w:r>
            <w:r w:rsidRPr="003021FD">
              <w:rPr>
                <w:rFonts w:cs="Arial"/>
                <w:i/>
                <w:szCs w:val="20"/>
                <w:highlight w:val="lightGray"/>
              </w:rPr>
              <w:t>e</w:t>
            </w:r>
            <w:r w:rsidRPr="004D71A2">
              <w:rPr>
                <w:rFonts w:cs="Arial"/>
                <w:i/>
                <w:szCs w:val="20"/>
                <w:highlight w:val="lightGray"/>
              </w:rPr>
              <w:t>ment und die Über</w:t>
            </w:r>
            <w:r w:rsidRPr="005F3514">
              <w:rPr>
                <w:rFonts w:cs="Arial"/>
                <w:i/>
                <w:szCs w:val="20"/>
                <w:highlight w:val="lightGray"/>
              </w:rPr>
              <w:t>wachung der Auslagerungsvereinbarungen s</w:t>
            </w:r>
            <w:r w:rsidRPr="003021FD">
              <w:rPr>
                <w:rFonts w:cs="Arial"/>
                <w:i/>
                <w:szCs w:val="20"/>
                <w:highlight w:val="lightGray"/>
              </w:rPr>
              <w:t>i</w:t>
            </w:r>
            <w:r w:rsidRPr="004D71A2">
              <w:rPr>
                <w:rFonts w:cs="Arial"/>
                <w:i/>
                <w:szCs w:val="20"/>
                <w:highlight w:val="lightGray"/>
              </w:rPr>
              <w:t>cherzu</w:t>
            </w:r>
            <w:r w:rsidRPr="005F3514">
              <w:rPr>
                <w:rFonts w:cs="Arial"/>
                <w:i/>
                <w:szCs w:val="20"/>
                <w:highlight w:val="lightGray"/>
              </w:rPr>
              <w:t>stellen</w:t>
            </w:r>
          </w:p>
          <w:p w14:paraId="6E706B0E" w14:textId="77777777" w:rsidR="006D37A3" w:rsidRPr="00E1476E"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Es bestehen angemessene interne Verfahren um sicherzustellen, dass die Auslagerung nicht zur Delegation der Aufgaben des Verwaltungsrats führt</w:t>
            </w:r>
          </w:p>
          <w:p w14:paraId="69C7F63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Es bestehen wirksame</w:t>
            </w:r>
            <w:r>
              <w:rPr>
                <w:rFonts w:cs="Arial"/>
                <w:i/>
                <w:szCs w:val="20"/>
                <w:highlight w:val="lightGray"/>
              </w:rPr>
              <w:t xml:space="preserve"> interne Eskalationsmechanismen in Bezug auf die Nicht-Einhaltung von Kontrollen zur Überwachung der Auslagerungen</w:t>
            </w:r>
          </w:p>
          <w:p w14:paraId="373C8440"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 xml:space="preserve">Die internen Verfahren </w:t>
            </w:r>
            <w:r>
              <w:rPr>
                <w:rFonts w:cs="Arial"/>
                <w:i/>
                <w:szCs w:val="20"/>
                <w:highlight w:val="lightGray"/>
              </w:rPr>
              <w:t>gewährleisten</w:t>
            </w:r>
            <w:r w:rsidRPr="00CE3194">
              <w:rPr>
                <w:rFonts w:cs="Arial"/>
                <w:i/>
                <w:szCs w:val="20"/>
                <w:highlight w:val="lightGray"/>
              </w:rPr>
              <w:t xml:space="preserve"> ein angemessenes Dokumen</w:t>
            </w:r>
            <w:r>
              <w:rPr>
                <w:rFonts w:cs="Arial"/>
                <w:i/>
                <w:szCs w:val="20"/>
                <w:highlight w:val="lightGray"/>
              </w:rPr>
              <w:t>tations- und Archivierungswesen</w:t>
            </w:r>
          </w:p>
          <w:p w14:paraId="27AA6BE9" w14:textId="77777777" w:rsidR="006D37A3" w:rsidRDefault="006D37A3" w:rsidP="009B7A8A">
            <w:pPr>
              <w:pStyle w:val="Listenabsatz"/>
              <w:numPr>
                <w:ilvl w:val="1"/>
                <w:numId w:val="17"/>
              </w:numPr>
              <w:ind w:left="317" w:hanging="283"/>
              <w:jc w:val="both"/>
              <w:rPr>
                <w:rFonts w:cs="Arial"/>
                <w:i/>
                <w:szCs w:val="20"/>
                <w:highlight w:val="lightGray"/>
              </w:rPr>
            </w:pPr>
            <w:r w:rsidRPr="00D2046C">
              <w:rPr>
                <w:rFonts w:cs="Arial"/>
                <w:i/>
                <w:szCs w:val="20"/>
                <w:highlight w:val="lightGray"/>
              </w:rPr>
              <w:t>Die internen Verfahren stellen den internen Wissenstransfer (B</w:t>
            </w:r>
            <w:r w:rsidRPr="00304114">
              <w:rPr>
                <w:rFonts w:cs="Arial"/>
                <w:i/>
                <w:szCs w:val="20"/>
                <w:highlight w:val="lightGray"/>
              </w:rPr>
              <w:t>e</w:t>
            </w:r>
            <w:r w:rsidRPr="00D2046C">
              <w:rPr>
                <w:rFonts w:cs="Arial"/>
                <w:i/>
                <w:szCs w:val="20"/>
                <w:highlight w:val="lightGray"/>
              </w:rPr>
              <w:t>richterstattung) angemessen sicher</w:t>
            </w:r>
          </w:p>
        </w:tc>
        <w:tc>
          <w:tcPr>
            <w:tcW w:w="2759" w:type="dxa"/>
          </w:tcPr>
          <w:p w14:paraId="4FFA8942"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lastRenderedPageBreak/>
              <w:t>Bestätigung, dass das Interne Kontrollsystem für die Dokumentation, das Management und die Kontrolle von Auslagerungsvereinbarungen</w:t>
            </w:r>
            <w:r>
              <w:rPr>
                <w:rFonts w:cs="Arial"/>
                <w:i/>
                <w:szCs w:val="20"/>
                <w:highlight w:val="lightGray"/>
              </w:rPr>
              <w:t xml:space="preserve"> und Outsourcing-Dienstleistern/Drittanbietern</w:t>
            </w:r>
            <w:r w:rsidRPr="00255340" w:rsidDel="00BE0B96">
              <w:rPr>
                <w:rFonts w:cs="Arial"/>
                <w:i/>
                <w:szCs w:val="20"/>
                <w:highlight w:val="lightGray"/>
              </w:rPr>
              <w:t xml:space="preserve"> </w:t>
            </w:r>
            <w:r w:rsidRPr="00255340">
              <w:rPr>
                <w:rFonts w:cs="Arial"/>
                <w:i/>
                <w:szCs w:val="20"/>
                <w:highlight w:val="lightGray"/>
              </w:rPr>
              <w:t>angemessen ist und im Falle der Prüftiefe Detailprüfung effektiv angewendet wurden.</w:t>
            </w:r>
          </w:p>
        </w:tc>
      </w:tr>
      <w:tr w:rsidR="006D37A3" w:rsidRPr="00CE3194" w14:paraId="57DBE5F1" w14:textId="77777777" w:rsidTr="009B7A8A">
        <w:tc>
          <w:tcPr>
            <w:tcW w:w="1668" w:type="dxa"/>
          </w:tcPr>
          <w:p w14:paraId="4D90AF80"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Risikomanagement von Auslagerungen</w:t>
            </w:r>
          </w:p>
        </w:tc>
        <w:tc>
          <w:tcPr>
            <w:tcW w:w="5313" w:type="dxa"/>
          </w:tcPr>
          <w:p w14:paraId="42A9A60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wesentlichen Risiken, welche durch Vereinbarungen mit Dienstleistern verursacht werden, </w:t>
            </w:r>
            <w:r w:rsidRPr="00CE3194">
              <w:rPr>
                <w:rFonts w:cs="Arial"/>
                <w:i/>
                <w:szCs w:val="20"/>
                <w:highlight w:val="lightGray"/>
              </w:rPr>
              <w:t>werden laufend identifiziert, bewertet, gemessen, begrenzt</w:t>
            </w:r>
            <w:r>
              <w:rPr>
                <w:rFonts w:cs="Arial"/>
                <w:i/>
                <w:szCs w:val="20"/>
                <w:highlight w:val="lightGray"/>
              </w:rPr>
              <w:t xml:space="preserve">, überwacht, </w:t>
            </w:r>
            <w:r w:rsidRPr="00CE3194">
              <w:rPr>
                <w:rFonts w:cs="Arial"/>
                <w:i/>
                <w:szCs w:val="20"/>
                <w:highlight w:val="lightGray"/>
              </w:rPr>
              <w:t>gesteuert</w:t>
            </w:r>
            <w:r>
              <w:rPr>
                <w:rFonts w:cs="Arial"/>
                <w:i/>
                <w:szCs w:val="20"/>
                <w:highlight w:val="lightGray"/>
              </w:rPr>
              <w:t xml:space="preserve"> und dokumentiert</w:t>
            </w:r>
            <w:r w:rsidRPr="00CE3194">
              <w:rPr>
                <w:rFonts w:cs="Arial"/>
                <w:i/>
                <w:szCs w:val="20"/>
                <w:highlight w:val="lightGray"/>
              </w:rPr>
              <w:t>;</w:t>
            </w:r>
          </w:p>
          <w:p w14:paraId="015437CA"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Bei Weiterverlagerungen an einen anderen Dienstleister („Ketten-Auslagerungen“) sind die daraus entstehenden Risiken in der Risikobewertung zu berücksichtigen</w:t>
            </w:r>
          </w:p>
          <w:p w14:paraId="16ECE58D"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Risikobewertung hat zumindest Folgendes zu umfassen: Sensitivität der Daten und Systeme, Sicherheitsmassnahmen, Folgen des Standorts des Dienstleisters, politische Stabilität, Sicherheitslage der betreffenden Rechtsordnungen, Vertraulichkeit von Daten, Kontinuität ausgelagerter Tätigkeiten, Integrität und Rückverfolgbarkeit von Daten und Systemen</w:t>
            </w:r>
          </w:p>
          <w:p w14:paraId="192F094C"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Auslagerungsfunktion innerhalb der Risikomanagementfunktion ist angemessen ausgestaltet und unmittelbar dem Leitungsorgan unterstellt </w:t>
            </w:r>
          </w:p>
          <w:p w14:paraId="3C847AFE"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dokumentiert sämtliche Auslagerungsvereinbarungen</w:t>
            </w:r>
          </w:p>
          <w:p w14:paraId="416F4451"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Auslagerungsfunktion ist für die Steuerung und Kontrolle des Risikos aus Auslagerungen verantwortlich</w:t>
            </w:r>
          </w:p>
          <w:p w14:paraId="649CB815"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Szenarien berücksichtigen mögliche Auswirkungen unterlassener oder unzureichender Dienstleistungen von Dienstleistern</w:t>
            </w:r>
          </w:p>
          <w:p w14:paraId="6B4EE39B" w14:textId="77777777" w:rsidR="006D37A3" w:rsidRPr="00CE3194"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Annahmen, Parameter und Szenarien des Risikomanagements werden regelmässig validiert</w:t>
            </w:r>
          </w:p>
          <w:p w14:paraId="4C7E9350" w14:textId="77777777" w:rsidR="006D37A3" w:rsidRPr="00CE3194"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Die verwendeten Daten sind von hoher Aktualität und Qualität;</w:t>
            </w:r>
          </w:p>
          <w:p w14:paraId="2EE65462" w14:textId="77777777" w:rsidR="006D37A3" w:rsidRDefault="006D37A3" w:rsidP="009B7A8A">
            <w:pPr>
              <w:pStyle w:val="Listenabsatz"/>
              <w:numPr>
                <w:ilvl w:val="1"/>
                <w:numId w:val="17"/>
              </w:numPr>
              <w:ind w:left="317" w:hanging="283"/>
              <w:jc w:val="both"/>
              <w:rPr>
                <w:rFonts w:cs="Arial"/>
                <w:i/>
                <w:szCs w:val="20"/>
                <w:highlight w:val="lightGray"/>
              </w:rPr>
            </w:pPr>
            <w:r w:rsidRPr="00CE3194">
              <w:rPr>
                <w:rFonts w:cs="Arial"/>
                <w:i/>
                <w:szCs w:val="20"/>
                <w:highlight w:val="lightGray"/>
              </w:rPr>
              <w:t>Die Risiken werden transparent und angemessen quantifiziert</w:t>
            </w:r>
          </w:p>
          <w:p w14:paraId="553FF1CB" w14:textId="77777777" w:rsidR="006D37A3" w:rsidRPr="00CE3194"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Ergebnisse und Analysen werden angemessen dokumentiert</w:t>
            </w:r>
          </w:p>
        </w:tc>
        <w:tc>
          <w:tcPr>
            <w:tcW w:w="2759" w:type="dxa"/>
          </w:tcPr>
          <w:p w14:paraId="112BC972"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Methoden zur Identifikation, Bewertung, Messung, Begrenzung, Überwachung</w:t>
            </w:r>
            <w:r>
              <w:rPr>
                <w:rFonts w:cs="Arial"/>
                <w:i/>
                <w:szCs w:val="20"/>
                <w:highlight w:val="lightGray"/>
              </w:rPr>
              <w:t xml:space="preserve">, </w:t>
            </w:r>
            <w:r w:rsidRPr="00255340">
              <w:rPr>
                <w:rFonts w:cs="Arial"/>
                <w:i/>
                <w:szCs w:val="20"/>
                <w:highlight w:val="lightGray"/>
              </w:rPr>
              <w:t xml:space="preserve">Steuerung </w:t>
            </w:r>
            <w:r>
              <w:rPr>
                <w:rFonts w:cs="Arial"/>
                <w:i/>
                <w:szCs w:val="20"/>
                <w:highlight w:val="lightGray"/>
              </w:rPr>
              <w:t xml:space="preserve">und Dokumentation </w:t>
            </w:r>
            <w:r w:rsidRPr="00255340">
              <w:rPr>
                <w:rFonts w:cs="Arial"/>
                <w:i/>
                <w:szCs w:val="20"/>
                <w:highlight w:val="lightGray"/>
              </w:rPr>
              <w:t>von Risiken, welche durch Vereinbarungen mit Dienstleistern für Auslagerungen verursacht werden angemessen sind und im Falle der Prüftiefe Detailprüfung effektiv angewendet wurden</w:t>
            </w:r>
          </w:p>
        </w:tc>
      </w:tr>
      <w:tr w:rsidR="006D37A3" w:rsidRPr="00CE3194" w14:paraId="4252BEFC" w14:textId="77777777" w:rsidTr="009B7A8A">
        <w:tc>
          <w:tcPr>
            <w:tcW w:w="1668" w:type="dxa"/>
          </w:tcPr>
          <w:p w14:paraId="2A112BFD"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lastRenderedPageBreak/>
              <w:t>Interne Revision der ausgelagerten Tätigkeiten</w:t>
            </w:r>
          </w:p>
        </w:tc>
        <w:tc>
          <w:tcPr>
            <w:tcW w:w="5313" w:type="dxa"/>
          </w:tcPr>
          <w:p w14:paraId="6FD14FCA"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 Revision verfügt über uneingeschränktes Zugangs-, Informations- und Prüfungsrecht zu den ausgelagerten Tätigkeiten</w:t>
            </w:r>
          </w:p>
          <w:p w14:paraId="4BEEF224" w14:textId="7CB1756B"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der risikobasierte Prüfplan der internen Revision </w:t>
            </w:r>
            <w:r w:rsidR="00211F36">
              <w:rPr>
                <w:rFonts w:cs="Arial"/>
                <w:i/>
                <w:szCs w:val="20"/>
                <w:highlight w:val="lightGray"/>
              </w:rPr>
              <w:t xml:space="preserve">den Auslagerungsprozess und </w:t>
            </w:r>
            <w:r>
              <w:rPr>
                <w:rFonts w:cs="Arial"/>
                <w:i/>
                <w:szCs w:val="20"/>
                <w:highlight w:val="lightGray"/>
              </w:rPr>
              <w:t xml:space="preserve">u.a. die Prüfung der Auslagerungsvereinbarungen </w:t>
            </w:r>
            <w:r w:rsidR="00211F36">
              <w:rPr>
                <w:rFonts w:cs="Arial"/>
                <w:i/>
                <w:szCs w:val="20"/>
                <w:highlight w:val="lightGray"/>
              </w:rPr>
              <w:t xml:space="preserve">(insb. </w:t>
            </w:r>
            <w:r>
              <w:rPr>
                <w:rFonts w:cs="Arial"/>
                <w:i/>
                <w:szCs w:val="20"/>
                <w:highlight w:val="lightGray"/>
              </w:rPr>
              <w:t>für kritische oder wesentliche Funktionen</w:t>
            </w:r>
            <w:r w:rsidR="00211F36">
              <w:rPr>
                <w:rFonts w:cs="Arial"/>
                <w:i/>
                <w:szCs w:val="20"/>
                <w:highlight w:val="lightGray"/>
              </w:rPr>
              <w:t>)</w:t>
            </w:r>
            <w:r>
              <w:rPr>
                <w:rFonts w:cs="Arial"/>
                <w:i/>
                <w:szCs w:val="20"/>
                <w:highlight w:val="lightGray"/>
              </w:rPr>
              <w:t xml:space="preserve"> umfasst</w:t>
            </w:r>
          </w:p>
          <w:p w14:paraId="28CC2F5D" w14:textId="607E4791" w:rsidR="006D37A3" w:rsidRDefault="006D37A3" w:rsidP="009B7A8A">
            <w:pPr>
              <w:pStyle w:val="Listenabsatz"/>
              <w:numPr>
                <w:ilvl w:val="1"/>
                <w:numId w:val="17"/>
              </w:numPr>
              <w:ind w:left="317" w:hanging="283"/>
              <w:jc w:val="both"/>
              <w:rPr>
                <w:rFonts w:cs="Arial"/>
                <w:i/>
                <w:szCs w:val="20"/>
                <w:highlight w:val="lightGray"/>
              </w:rPr>
            </w:pPr>
          </w:p>
        </w:tc>
        <w:tc>
          <w:tcPr>
            <w:tcW w:w="2759" w:type="dxa"/>
          </w:tcPr>
          <w:p w14:paraId="3C41C5E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 Revisionsfunktion für die Überprüfung der ausgelagerten Funktionen/Prozesse/Dienstleistungen angemessen ausgestaltet ist und die ausgelagerten Funktionen/Prozesse/Dienstleistungen im risikobasierten Prüfplan der Internen Revision angemessen adressiert und geprüft werden</w:t>
            </w:r>
          </w:p>
        </w:tc>
      </w:tr>
      <w:tr w:rsidR="006D37A3" w:rsidRPr="00CE3194" w14:paraId="715A8EF5" w14:textId="77777777" w:rsidTr="009B7A8A">
        <w:tc>
          <w:tcPr>
            <w:tcW w:w="1668" w:type="dxa"/>
          </w:tcPr>
          <w:p w14:paraId="7B7591A0"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Dokumentationsanforderungen / Registerführung</w:t>
            </w:r>
          </w:p>
        </w:tc>
        <w:tc>
          <w:tcPr>
            <w:tcW w:w="5313" w:type="dxa"/>
          </w:tcPr>
          <w:p w14:paraId="68609D49"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ein Register mit Informationen über alle Auslagerungsvereinbarungen geführt und laufend aktualisiert wird</w:t>
            </w:r>
          </w:p>
          <w:p w14:paraId="5D7EE497"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internen Verfahren stellen sicher, dass das Register vollständig und den Mindestinhalten der regulatorischen Vorschriften entspricht</w:t>
            </w:r>
          </w:p>
        </w:tc>
        <w:tc>
          <w:tcPr>
            <w:tcW w:w="2759" w:type="dxa"/>
          </w:tcPr>
          <w:p w14:paraId="68146459"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ein Register mit Informationen über alle Auslagerungsvereinbarungen vollständig, gemäss den regulatorischen Mindestinhalten, geführt und laufend aktualisiert wird</w:t>
            </w:r>
          </w:p>
        </w:tc>
      </w:tr>
      <w:tr w:rsidR="006D37A3" w:rsidRPr="00CE3194" w14:paraId="22715C78" w14:textId="77777777" w:rsidTr="009B7A8A">
        <w:tc>
          <w:tcPr>
            <w:tcW w:w="1668" w:type="dxa"/>
          </w:tcPr>
          <w:p w14:paraId="3A2B4B09" w14:textId="77777777" w:rsidR="006D37A3" w:rsidRDefault="006D37A3" w:rsidP="009B7A8A">
            <w:pPr>
              <w:jc w:val="both"/>
              <w:rPr>
                <w:rFonts w:ascii="Arial" w:hAnsi="Arial" w:cs="Arial"/>
                <w:i/>
                <w:sz w:val="20"/>
                <w:szCs w:val="20"/>
                <w:highlight w:val="lightGray"/>
              </w:rPr>
            </w:pPr>
            <w:r>
              <w:rPr>
                <w:rFonts w:ascii="Arial" w:hAnsi="Arial" w:cs="Arial"/>
                <w:i/>
                <w:sz w:val="20"/>
                <w:szCs w:val="20"/>
                <w:highlight w:val="lightGray"/>
              </w:rPr>
              <w:t>Ausstiegsstrategien</w:t>
            </w:r>
          </w:p>
        </w:tc>
        <w:tc>
          <w:tcPr>
            <w:tcW w:w="5313" w:type="dxa"/>
          </w:tcPr>
          <w:p w14:paraId="29EA5FD4" w14:textId="77777777"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Die Ausstiegsstrategie stimmt mit der Auslagerungspolitik und den Plänen zur Geschäftsfortführung (BCM) überein</w:t>
            </w:r>
          </w:p>
          <w:p w14:paraId="093EE4AD" w14:textId="718EA728"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Ausstiegspläne sind </w:t>
            </w:r>
            <w:r w:rsidR="00211F36">
              <w:rPr>
                <w:rFonts w:cs="Arial"/>
                <w:i/>
                <w:szCs w:val="20"/>
                <w:highlight w:val="lightGray"/>
              </w:rPr>
              <w:t xml:space="preserve">angemessen dokumentiert und </w:t>
            </w:r>
            <w:r>
              <w:rPr>
                <w:rFonts w:cs="Arial"/>
                <w:i/>
                <w:szCs w:val="20"/>
                <w:highlight w:val="lightGray"/>
              </w:rPr>
              <w:t>ausreichend erprobt (z.B. Durchführung einer Analyse der potenziellen Kosten, Folgen, Mittel und zeitlicher Auswirkungen der Übertragung auf einen anderen Anbieter)</w:t>
            </w:r>
          </w:p>
          <w:p w14:paraId="00C463C2" w14:textId="51A961EA" w:rsidR="006D37A3" w:rsidRDefault="006D37A3" w:rsidP="009B7A8A">
            <w:pPr>
              <w:pStyle w:val="Listenabsatz"/>
              <w:numPr>
                <w:ilvl w:val="1"/>
                <w:numId w:val="17"/>
              </w:numPr>
              <w:ind w:left="317" w:hanging="283"/>
              <w:jc w:val="both"/>
              <w:rPr>
                <w:rFonts w:cs="Arial"/>
                <w:i/>
                <w:szCs w:val="20"/>
                <w:highlight w:val="lightGray"/>
              </w:rPr>
            </w:pPr>
            <w:r>
              <w:rPr>
                <w:rFonts w:cs="Arial"/>
                <w:i/>
                <w:szCs w:val="20"/>
                <w:highlight w:val="lightGray"/>
              </w:rPr>
              <w:t xml:space="preserve">Die internen Verfahren stellen sicher, dass ausgelagerte Tätigkeiten ohne wesentlichen Unterbruch der Geschäftstätigkeiten wieder in die </w:t>
            </w:r>
            <w:r w:rsidR="004726B7">
              <w:rPr>
                <w:rFonts w:cs="Arial"/>
                <w:i/>
                <w:szCs w:val="20"/>
                <w:highlight w:val="lightGray"/>
              </w:rPr>
              <w:t>bewilligte (gemischte) Finanzholdinggesellschaft</w:t>
            </w:r>
            <w:r>
              <w:rPr>
                <w:rFonts w:cs="Arial"/>
                <w:i/>
                <w:szCs w:val="20"/>
                <w:highlight w:val="lightGray"/>
              </w:rPr>
              <w:t xml:space="preserve"> eingegliedert </w:t>
            </w:r>
            <w:r w:rsidR="00211F36">
              <w:rPr>
                <w:rFonts w:cs="Arial"/>
                <w:i/>
                <w:szCs w:val="20"/>
                <w:highlight w:val="lightGray"/>
              </w:rPr>
              <w:t xml:space="preserve">oder an einen anderen Dienstleister übertragen </w:t>
            </w:r>
            <w:r>
              <w:rPr>
                <w:rFonts w:cs="Arial"/>
                <w:i/>
                <w:szCs w:val="20"/>
                <w:highlight w:val="lightGray"/>
              </w:rPr>
              <w:t xml:space="preserve">werden können. </w:t>
            </w:r>
          </w:p>
        </w:tc>
        <w:tc>
          <w:tcPr>
            <w:tcW w:w="2759" w:type="dxa"/>
          </w:tcPr>
          <w:p w14:paraId="0933C74C" w14:textId="77777777" w:rsidR="006D37A3" w:rsidRPr="00024116" w:rsidRDefault="006D37A3" w:rsidP="009B7A8A">
            <w:pPr>
              <w:pStyle w:val="Listenabsatz"/>
              <w:numPr>
                <w:ilvl w:val="1"/>
                <w:numId w:val="17"/>
              </w:numPr>
              <w:ind w:left="317" w:hanging="283"/>
              <w:jc w:val="both"/>
              <w:rPr>
                <w:rFonts w:cs="Arial"/>
                <w:i/>
                <w:szCs w:val="20"/>
                <w:highlight w:val="lightGray"/>
              </w:rPr>
            </w:pPr>
            <w:r w:rsidRPr="00255340">
              <w:rPr>
                <w:rFonts w:cs="Arial"/>
                <w:i/>
                <w:szCs w:val="20"/>
                <w:highlight w:val="lightGray"/>
              </w:rPr>
              <w:t>Bestätigung, dass die internen Verfahren sicherstellen, dass angemessene Ausstiegsstrategien und –pläne existieren, die mit der Auslagerungspolitik und den Plänen zur Geschäftsfortführung (BCM) übereinstimmen und die regelmässig erprobt werden</w:t>
            </w:r>
          </w:p>
        </w:tc>
      </w:tr>
    </w:tbl>
    <w:p w14:paraId="71F52CDD" w14:textId="77777777" w:rsidR="006D37A3" w:rsidRDefault="006D37A3" w:rsidP="006D37A3">
      <w:pPr>
        <w:jc w:val="both"/>
      </w:pPr>
    </w:p>
    <w:p w14:paraId="65C7047E" w14:textId="77777777" w:rsidR="006D37A3" w:rsidRPr="00B037A6" w:rsidRDefault="006D37A3" w:rsidP="006D37A3">
      <w:pPr>
        <w:jc w:val="both"/>
        <w:rPr>
          <w:sz w:val="20"/>
          <w:szCs w:val="20"/>
        </w:rPr>
      </w:pPr>
      <w:r w:rsidRPr="00B037A6">
        <w:rPr>
          <w:sz w:val="20"/>
          <w:szCs w:val="20"/>
        </w:rPr>
        <w:t xml:space="preserve">*Der Begriff </w:t>
      </w:r>
      <w:r>
        <w:rPr>
          <w:sz w:val="20"/>
          <w:szCs w:val="20"/>
        </w:rPr>
        <w:t>„</w:t>
      </w:r>
      <w:r w:rsidRPr="00B037A6">
        <w:rPr>
          <w:sz w:val="20"/>
          <w:szCs w:val="20"/>
        </w:rPr>
        <w:t>Dienstleister</w:t>
      </w:r>
      <w:r>
        <w:rPr>
          <w:sz w:val="20"/>
          <w:szCs w:val="20"/>
        </w:rPr>
        <w:t>“</w:t>
      </w:r>
      <w:r w:rsidRPr="00B037A6">
        <w:rPr>
          <w:sz w:val="20"/>
          <w:szCs w:val="20"/>
        </w:rPr>
        <w:t xml:space="preserve"> beinhaltet gruppeninterne Dienstleister als auch Dritte. </w:t>
      </w:r>
    </w:p>
    <w:p w14:paraId="284BF141" w14:textId="77777777" w:rsidR="006D37A3" w:rsidRDefault="006D37A3" w:rsidP="006D37A3">
      <w:pPr>
        <w:jc w:val="both"/>
      </w:pPr>
    </w:p>
    <w:p w14:paraId="142BA28C" w14:textId="69078DF4" w:rsidR="006D37A3" w:rsidRDefault="006D37A3" w:rsidP="00636495">
      <w:pPr>
        <w:jc w:val="both"/>
      </w:pPr>
    </w:p>
    <w:p w14:paraId="61DDB336" w14:textId="77777777" w:rsidR="006D37A3" w:rsidRDefault="006D37A3" w:rsidP="00636495">
      <w:pPr>
        <w:jc w:val="both"/>
      </w:pPr>
    </w:p>
    <w:p w14:paraId="754BB8ED" w14:textId="77777777" w:rsidR="001605C4" w:rsidRDefault="001605C4" w:rsidP="00636495">
      <w:pPr>
        <w:jc w:val="both"/>
      </w:pPr>
    </w:p>
    <w:p w14:paraId="0828FB72" w14:textId="77777777" w:rsidR="009C6380" w:rsidRDefault="009C6380" w:rsidP="00897485">
      <w:pPr>
        <w:pStyle w:val="Listenabsatz"/>
        <w:ind w:left="792"/>
        <w:jc w:val="both"/>
      </w:pPr>
    </w:p>
    <w:p w14:paraId="27430468" w14:textId="77777777" w:rsidR="009C6380" w:rsidRDefault="0084034D" w:rsidP="006F7AB5">
      <w:pPr>
        <w:pStyle w:val="FINMAGliederungEbene2"/>
      </w:pPr>
      <w:bookmarkStart w:id="88" w:name="_Toc216425829"/>
      <w:r>
        <w:t>Prüfresultate aus v</w:t>
      </w:r>
      <w:r w:rsidR="009C6380">
        <w:t>on der FMA Liechtenstein zusätzlich festgelegte</w:t>
      </w:r>
      <w:r>
        <w:t>n</w:t>
      </w:r>
      <w:r w:rsidR="009C6380">
        <w:t xml:space="preserve"> Prüfgebiete</w:t>
      </w:r>
      <w:r>
        <w:t>n</w:t>
      </w:r>
      <w:r w:rsidR="009C6380">
        <w:t xml:space="preserve"> / Risikoarten bzw. Prüffelder</w:t>
      </w:r>
      <w:bookmarkEnd w:id="88"/>
    </w:p>
    <w:p w14:paraId="510CC1E7" w14:textId="77777777" w:rsidR="009C6380" w:rsidRDefault="009C6380" w:rsidP="00CB3EE6">
      <w:pPr>
        <w:jc w:val="both"/>
      </w:pPr>
    </w:p>
    <w:p w14:paraId="717796A1" w14:textId="77777777" w:rsidR="00946366" w:rsidRDefault="009C6380" w:rsidP="00CB3EE6">
      <w:pPr>
        <w:jc w:val="both"/>
        <w:rPr>
          <w:rFonts w:cs="Arial"/>
          <w:i/>
          <w:szCs w:val="20"/>
          <w:highlight w:val="lightGray"/>
        </w:rPr>
      </w:pPr>
      <w:r w:rsidRPr="00CB3EE6">
        <w:rPr>
          <w:rFonts w:ascii="Arial" w:hAnsi="Arial" w:cs="Arial"/>
          <w:i/>
          <w:sz w:val="20"/>
          <w:szCs w:val="20"/>
          <w:highlight w:val="lightGray"/>
        </w:rPr>
        <w:t>Unter diesem Abschnitt sind die Prüfresultate sämtliche</w:t>
      </w:r>
      <w:r>
        <w:rPr>
          <w:rFonts w:ascii="Arial" w:hAnsi="Arial" w:cs="Arial"/>
          <w:i/>
          <w:sz w:val="20"/>
          <w:szCs w:val="20"/>
          <w:highlight w:val="lightGray"/>
        </w:rPr>
        <w:t>r,</w:t>
      </w:r>
      <w:r w:rsidRPr="00CB3EE6">
        <w:rPr>
          <w:rFonts w:ascii="Arial" w:hAnsi="Arial" w:cs="Arial"/>
          <w:i/>
          <w:sz w:val="20"/>
          <w:szCs w:val="20"/>
          <w:highlight w:val="lightGray"/>
        </w:rPr>
        <w:t xml:space="preserve"> von der FMA Liechtenstein </w:t>
      </w:r>
      <w:r>
        <w:rPr>
          <w:rFonts w:ascii="Arial" w:hAnsi="Arial" w:cs="Arial"/>
          <w:i/>
          <w:sz w:val="20"/>
          <w:szCs w:val="20"/>
          <w:highlight w:val="lightGray"/>
        </w:rPr>
        <w:t xml:space="preserve">vorgängig </w:t>
      </w:r>
      <w:r w:rsidRPr="00CB3EE6">
        <w:rPr>
          <w:rFonts w:ascii="Arial" w:hAnsi="Arial" w:cs="Arial"/>
          <w:i/>
          <w:sz w:val="20"/>
          <w:szCs w:val="20"/>
          <w:highlight w:val="lightGray"/>
        </w:rPr>
        <w:t>kommunizierten</w:t>
      </w:r>
      <w:r>
        <w:rPr>
          <w:rFonts w:ascii="Arial" w:hAnsi="Arial" w:cs="Arial"/>
          <w:i/>
          <w:sz w:val="20"/>
          <w:szCs w:val="20"/>
          <w:highlight w:val="lightGray"/>
        </w:rPr>
        <w:t>,</w:t>
      </w:r>
      <w:r w:rsidRPr="00CB3EE6">
        <w:rPr>
          <w:rFonts w:ascii="Arial" w:hAnsi="Arial" w:cs="Arial"/>
          <w:i/>
          <w:sz w:val="20"/>
          <w:szCs w:val="20"/>
          <w:highlight w:val="lightGray"/>
        </w:rPr>
        <w:t xml:space="preserve"> zusätzlich festgelegte</w:t>
      </w:r>
      <w:r>
        <w:rPr>
          <w:rFonts w:ascii="Arial" w:hAnsi="Arial" w:cs="Arial"/>
          <w:i/>
          <w:sz w:val="20"/>
          <w:szCs w:val="20"/>
          <w:highlight w:val="lightGray"/>
        </w:rPr>
        <w:t>r</w:t>
      </w:r>
      <w:r w:rsidRPr="00CB3EE6">
        <w:rPr>
          <w:rFonts w:ascii="Arial" w:hAnsi="Arial" w:cs="Arial"/>
          <w:i/>
          <w:sz w:val="20"/>
          <w:szCs w:val="20"/>
          <w:highlight w:val="lightGray"/>
        </w:rPr>
        <w:t xml:space="preserve"> Prüfgebiete / Risikoarten bzw. Prü</w:t>
      </w:r>
      <w:r w:rsidR="0084034D">
        <w:rPr>
          <w:rFonts w:ascii="Arial" w:hAnsi="Arial" w:cs="Arial"/>
          <w:i/>
          <w:sz w:val="20"/>
          <w:szCs w:val="20"/>
          <w:highlight w:val="lightGray"/>
        </w:rPr>
        <w:t>f</w:t>
      </w:r>
      <w:r w:rsidRPr="00CB3EE6">
        <w:rPr>
          <w:rFonts w:ascii="Arial" w:hAnsi="Arial" w:cs="Arial"/>
          <w:i/>
          <w:sz w:val="20"/>
          <w:szCs w:val="20"/>
          <w:highlight w:val="lightGray"/>
        </w:rPr>
        <w:t>felder</w:t>
      </w:r>
      <w:r w:rsidR="0084034D">
        <w:rPr>
          <w:rFonts w:ascii="Arial" w:hAnsi="Arial" w:cs="Arial"/>
          <w:i/>
          <w:sz w:val="20"/>
          <w:szCs w:val="20"/>
          <w:highlight w:val="lightGray"/>
        </w:rPr>
        <w:t>,</w:t>
      </w:r>
      <w:r w:rsidRPr="00CB3EE6">
        <w:rPr>
          <w:rFonts w:ascii="Arial" w:hAnsi="Arial" w:cs="Arial"/>
          <w:i/>
          <w:sz w:val="20"/>
          <w:szCs w:val="20"/>
          <w:highlight w:val="lightGray"/>
        </w:rPr>
        <w:t xml:space="preserve"> </w:t>
      </w:r>
      <w:r w:rsidR="0084034D">
        <w:rPr>
          <w:rFonts w:ascii="Arial" w:hAnsi="Arial" w:cs="Arial"/>
          <w:i/>
          <w:sz w:val="20"/>
          <w:szCs w:val="20"/>
          <w:highlight w:val="lightGray"/>
        </w:rPr>
        <w:t xml:space="preserve">welche im Rahmen der Aufsichtsprüfung abzudecken sind, </w:t>
      </w:r>
      <w:r w:rsidR="00946366">
        <w:rPr>
          <w:rFonts w:ascii="Arial" w:hAnsi="Arial" w:cs="Arial"/>
          <w:i/>
          <w:sz w:val="20"/>
          <w:szCs w:val="20"/>
          <w:highlight w:val="lightGray"/>
        </w:rPr>
        <w:t>aufzuführen.</w:t>
      </w:r>
    </w:p>
    <w:p w14:paraId="13DA84EB" w14:textId="77777777" w:rsidR="00946366" w:rsidRDefault="00946366" w:rsidP="00CB3EE6">
      <w:pPr>
        <w:jc w:val="both"/>
        <w:rPr>
          <w:rFonts w:cs="Arial"/>
          <w:i/>
          <w:szCs w:val="20"/>
          <w:highlight w:val="lightGray"/>
        </w:rPr>
      </w:pPr>
    </w:p>
    <w:p w14:paraId="4129EA89" w14:textId="77777777" w:rsidR="00946366" w:rsidRDefault="00946366" w:rsidP="00CB3EE6">
      <w:pPr>
        <w:jc w:val="both"/>
        <w:rPr>
          <w:rFonts w:cs="Arial"/>
          <w:i/>
          <w:szCs w:val="20"/>
          <w:highlight w:val="lightGray"/>
        </w:rPr>
      </w:pPr>
      <w:r>
        <w:rPr>
          <w:rFonts w:ascii="Arial" w:hAnsi="Arial" w:cs="Arial"/>
          <w:i/>
          <w:sz w:val="20"/>
          <w:szCs w:val="20"/>
          <w:highlight w:val="lightGray"/>
        </w:rPr>
        <w:lastRenderedPageBreak/>
        <w:t>Die vorgängige Kommunikation durch die FMA Liechtenstein gibt an, welche Prüffelder im Rahmen der Aufsichtsprüfung mit welcher Prüftiefe abzudecken sind und welche Prüfbestätigung</w:t>
      </w:r>
      <w:r w:rsidR="0084034D">
        <w:rPr>
          <w:rFonts w:ascii="Arial" w:hAnsi="Arial" w:cs="Arial"/>
          <w:i/>
          <w:sz w:val="20"/>
          <w:szCs w:val="20"/>
          <w:highlight w:val="lightGray"/>
        </w:rPr>
        <w:t>en des jeweiligen Prüffelds</w:t>
      </w:r>
      <w:r>
        <w:rPr>
          <w:rFonts w:ascii="Arial" w:hAnsi="Arial" w:cs="Arial"/>
          <w:i/>
          <w:sz w:val="20"/>
          <w:szCs w:val="20"/>
          <w:highlight w:val="lightGray"/>
        </w:rPr>
        <w:t xml:space="preserve"> im Rahmen des vorliegenden Berichts über die</w:t>
      </w:r>
      <w:r w:rsidR="00C32537">
        <w:rPr>
          <w:rFonts w:ascii="Arial" w:hAnsi="Arial" w:cs="Arial"/>
          <w:i/>
          <w:sz w:val="20"/>
          <w:szCs w:val="20"/>
          <w:highlight w:val="lightGray"/>
        </w:rPr>
        <w:t xml:space="preserve"> Aufsichtsprüfung a</w:t>
      </w:r>
      <w:r w:rsidR="0084034D">
        <w:rPr>
          <w:rFonts w:ascii="Arial" w:hAnsi="Arial" w:cs="Arial"/>
          <w:i/>
          <w:sz w:val="20"/>
          <w:szCs w:val="20"/>
          <w:highlight w:val="lightGray"/>
        </w:rPr>
        <w:t>ufzuführen und zu beurteilen sind.</w:t>
      </w:r>
      <w:r w:rsidR="00C32537">
        <w:rPr>
          <w:rFonts w:ascii="Arial" w:hAnsi="Arial" w:cs="Arial"/>
          <w:i/>
          <w:sz w:val="20"/>
          <w:szCs w:val="20"/>
          <w:highlight w:val="lightGray"/>
        </w:rPr>
        <w:t xml:space="preserve"> </w:t>
      </w:r>
    </w:p>
    <w:p w14:paraId="00176855" w14:textId="77777777" w:rsidR="00C32537" w:rsidRDefault="00C32537" w:rsidP="00CB3EE6">
      <w:pPr>
        <w:jc w:val="both"/>
        <w:rPr>
          <w:rFonts w:cs="Arial"/>
          <w:i/>
          <w:szCs w:val="20"/>
          <w:highlight w:val="lightGray"/>
        </w:rPr>
      </w:pPr>
    </w:p>
    <w:p w14:paraId="1D0A4133" w14:textId="77777777" w:rsidR="00C32537" w:rsidRDefault="00C32537" w:rsidP="00CB3EE6">
      <w:pPr>
        <w:jc w:val="both"/>
        <w:rPr>
          <w:rFonts w:cs="Arial"/>
          <w:i/>
          <w:szCs w:val="20"/>
          <w:highlight w:val="lightGray"/>
        </w:rPr>
      </w:pPr>
      <w:r>
        <w:rPr>
          <w:rFonts w:ascii="Arial" w:hAnsi="Arial" w:cs="Arial"/>
          <w:i/>
          <w:sz w:val="20"/>
          <w:szCs w:val="20"/>
          <w:highlight w:val="lightGray"/>
        </w:rPr>
        <w:t xml:space="preserve">Dieser Abschnitt betrifft vorwiegend </w:t>
      </w:r>
      <w:r w:rsidR="005477F5">
        <w:rPr>
          <w:rFonts w:ascii="Arial" w:hAnsi="Arial" w:cs="Arial"/>
          <w:i/>
          <w:sz w:val="20"/>
          <w:szCs w:val="20"/>
          <w:highlight w:val="lightGray"/>
        </w:rPr>
        <w:t>Prüfungshandlungen im</w:t>
      </w:r>
      <w:r>
        <w:rPr>
          <w:rFonts w:ascii="Arial" w:hAnsi="Arial" w:cs="Arial"/>
          <w:i/>
          <w:sz w:val="20"/>
          <w:szCs w:val="20"/>
          <w:highlight w:val="lightGray"/>
        </w:rPr>
        <w:t xml:space="preserve"> „Meldewesen“ und „andere Vorschriften“. </w:t>
      </w:r>
    </w:p>
    <w:p w14:paraId="2D73FD79" w14:textId="77777777" w:rsidR="00C32537" w:rsidRDefault="00C32537" w:rsidP="00CB3EE6">
      <w:pPr>
        <w:jc w:val="both"/>
        <w:rPr>
          <w:rFonts w:cs="Arial"/>
          <w:i/>
          <w:szCs w:val="20"/>
          <w:highlight w:val="lightGray"/>
        </w:rPr>
      </w:pPr>
    </w:p>
    <w:p w14:paraId="55CFD80F" w14:textId="2BDD218D" w:rsidR="00C32537" w:rsidRDefault="00C32537" w:rsidP="00CB3EE6">
      <w:pPr>
        <w:jc w:val="both"/>
        <w:rPr>
          <w:rFonts w:cs="Arial"/>
          <w:i/>
          <w:szCs w:val="20"/>
          <w:highlight w:val="lightGray"/>
        </w:rPr>
      </w:pPr>
      <w:r>
        <w:rPr>
          <w:rFonts w:ascii="Arial" w:hAnsi="Arial" w:cs="Arial"/>
          <w:i/>
          <w:sz w:val="20"/>
          <w:szCs w:val="20"/>
          <w:highlight w:val="lightGray"/>
        </w:rPr>
        <w:t xml:space="preserve">Das „Meldewesen“ umfasst sämtliche geltende periodische Meldepflichten der </w:t>
      </w:r>
      <w:r w:rsidR="006179DA" w:rsidRPr="00BF6946">
        <w:rPr>
          <w:rFonts w:ascii="Arial" w:hAnsi="Arial" w:cs="Arial"/>
          <w:i/>
          <w:sz w:val="20"/>
          <w:szCs w:val="20"/>
          <w:highlight w:val="lightGray"/>
        </w:rPr>
        <w:t>Bank bzw. der Gruppe</w:t>
      </w:r>
      <w:r w:rsidR="006179DA" w:rsidDel="006179DA">
        <w:rPr>
          <w:rFonts w:ascii="Arial" w:hAnsi="Arial" w:cs="Arial"/>
          <w:i/>
          <w:sz w:val="20"/>
          <w:szCs w:val="20"/>
          <w:highlight w:val="lightGray"/>
        </w:rPr>
        <w:t xml:space="preserve"> </w:t>
      </w:r>
      <w:r>
        <w:rPr>
          <w:rFonts w:ascii="Arial" w:hAnsi="Arial" w:cs="Arial"/>
          <w:i/>
          <w:sz w:val="20"/>
          <w:szCs w:val="20"/>
          <w:highlight w:val="lightGray"/>
        </w:rPr>
        <w:t xml:space="preserve">auf Einzelbasis und/oder auf konsolidierter </w:t>
      </w:r>
      <w:r w:rsidR="00306BC7">
        <w:rPr>
          <w:rFonts w:ascii="Arial" w:hAnsi="Arial" w:cs="Arial"/>
          <w:i/>
          <w:sz w:val="20"/>
          <w:szCs w:val="20"/>
          <w:highlight w:val="lightGray"/>
        </w:rPr>
        <w:t>Basis</w:t>
      </w:r>
      <w:r>
        <w:rPr>
          <w:rFonts w:ascii="Arial" w:hAnsi="Arial" w:cs="Arial"/>
          <w:i/>
          <w:sz w:val="20"/>
          <w:szCs w:val="20"/>
          <w:highlight w:val="lightGray"/>
        </w:rPr>
        <w:t xml:space="preserve">. </w:t>
      </w:r>
    </w:p>
    <w:p w14:paraId="21A08DC5" w14:textId="77777777" w:rsidR="00C32537" w:rsidRDefault="00C32537" w:rsidP="00CB3EE6">
      <w:pPr>
        <w:jc w:val="both"/>
        <w:rPr>
          <w:rFonts w:cs="Arial"/>
          <w:i/>
          <w:szCs w:val="20"/>
          <w:highlight w:val="lightGray"/>
        </w:rPr>
      </w:pPr>
    </w:p>
    <w:p w14:paraId="276B7BA3" w14:textId="1F94FE93" w:rsidR="00C32537" w:rsidRDefault="00C32537" w:rsidP="00CB3EE6">
      <w:pPr>
        <w:jc w:val="both"/>
        <w:rPr>
          <w:rFonts w:cs="Arial"/>
          <w:i/>
          <w:szCs w:val="20"/>
          <w:highlight w:val="lightGray"/>
        </w:rPr>
      </w:pPr>
      <w:r>
        <w:rPr>
          <w:rFonts w:ascii="Arial" w:hAnsi="Arial" w:cs="Arial"/>
          <w:i/>
          <w:sz w:val="20"/>
          <w:szCs w:val="20"/>
          <w:highlight w:val="lightGray"/>
        </w:rPr>
        <w:t xml:space="preserve">Das Prüfgebiet „Andere Vorschriften“ umfasst </w:t>
      </w:r>
      <w:r w:rsidR="00C66A05">
        <w:rPr>
          <w:rFonts w:ascii="Arial" w:hAnsi="Arial" w:cs="Arial"/>
          <w:i/>
          <w:sz w:val="20"/>
          <w:szCs w:val="20"/>
          <w:highlight w:val="lightGray"/>
        </w:rPr>
        <w:t xml:space="preserve">unter anderem </w:t>
      </w:r>
      <w:r>
        <w:rPr>
          <w:rFonts w:ascii="Arial" w:hAnsi="Arial" w:cs="Arial"/>
          <w:i/>
          <w:sz w:val="20"/>
          <w:szCs w:val="20"/>
          <w:highlight w:val="lightGray"/>
        </w:rPr>
        <w:t>folgende Prüffelder, welche nicht im Rahmen der</w:t>
      </w:r>
      <w:r w:rsidR="0084034D">
        <w:rPr>
          <w:rFonts w:ascii="Arial" w:hAnsi="Arial" w:cs="Arial"/>
          <w:i/>
          <w:sz w:val="20"/>
          <w:szCs w:val="20"/>
          <w:highlight w:val="lightGray"/>
        </w:rPr>
        <w:t xml:space="preserve"> Risikoanalyse / Prüfstrategie zu beurteilen gewesen sind: </w:t>
      </w:r>
    </w:p>
    <w:p w14:paraId="0CCD2885" w14:textId="37240339" w:rsidR="00C32537" w:rsidRPr="005B66F8" w:rsidRDefault="00C32537" w:rsidP="005B66F8">
      <w:pPr>
        <w:pStyle w:val="Listenabsatz"/>
        <w:numPr>
          <w:ilvl w:val="0"/>
          <w:numId w:val="36"/>
        </w:numPr>
        <w:jc w:val="both"/>
        <w:rPr>
          <w:rFonts w:cs="Arial"/>
          <w:i/>
          <w:szCs w:val="20"/>
          <w:highlight w:val="lightGray"/>
        </w:rPr>
      </w:pPr>
      <w:r>
        <w:rPr>
          <w:rFonts w:cs="Arial"/>
          <w:i/>
          <w:szCs w:val="20"/>
          <w:highlight w:val="lightGray"/>
        </w:rPr>
        <w:t>Nachrichtenlose Vermögenswerte</w:t>
      </w:r>
    </w:p>
    <w:p w14:paraId="359827C5" w14:textId="3D207E7E" w:rsidR="00C32537" w:rsidRDefault="00C32537" w:rsidP="00CB3EE6">
      <w:pPr>
        <w:pStyle w:val="Listenabsatz"/>
        <w:numPr>
          <w:ilvl w:val="0"/>
          <w:numId w:val="36"/>
        </w:numPr>
        <w:jc w:val="both"/>
        <w:rPr>
          <w:rFonts w:cs="Arial"/>
          <w:i/>
          <w:szCs w:val="20"/>
          <w:highlight w:val="lightGray"/>
        </w:rPr>
      </w:pPr>
      <w:r>
        <w:rPr>
          <w:rFonts w:cs="Arial"/>
          <w:i/>
          <w:szCs w:val="20"/>
          <w:highlight w:val="lightGray"/>
        </w:rPr>
        <w:t>Einlagensicherung</w:t>
      </w:r>
      <w:r w:rsidR="006D26BF">
        <w:rPr>
          <w:rFonts w:cs="Arial"/>
          <w:i/>
          <w:szCs w:val="20"/>
          <w:highlight w:val="lightGray"/>
        </w:rPr>
        <w:t xml:space="preserve"> (EAG)</w:t>
      </w:r>
    </w:p>
    <w:p w14:paraId="293A85E9" w14:textId="77777777" w:rsidR="000C756C" w:rsidRPr="000C756C" w:rsidRDefault="00C32537" w:rsidP="00494050">
      <w:pPr>
        <w:pStyle w:val="Listenabsatz"/>
        <w:numPr>
          <w:ilvl w:val="0"/>
          <w:numId w:val="36"/>
        </w:numPr>
        <w:jc w:val="both"/>
      </w:pPr>
      <w:r>
        <w:rPr>
          <w:rFonts w:cs="Arial"/>
          <w:i/>
          <w:szCs w:val="20"/>
          <w:highlight w:val="lightGray"/>
        </w:rPr>
        <w:t>Ausserbörslicher Handel mit Derivaten – OTC-Derivate, zentrale Gegenparteien und Transaktionsregister (EMIR)</w:t>
      </w:r>
    </w:p>
    <w:p w14:paraId="45301136" w14:textId="61C880BF" w:rsidR="00801D7B" w:rsidRPr="00B037A6" w:rsidRDefault="00C32537" w:rsidP="00494050">
      <w:pPr>
        <w:pStyle w:val="Listenabsatz"/>
        <w:numPr>
          <w:ilvl w:val="0"/>
          <w:numId w:val="36"/>
        </w:numPr>
        <w:jc w:val="both"/>
      </w:pPr>
      <w:r w:rsidRPr="00494050">
        <w:rPr>
          <w:rFonts w:cs="Arial"/>
          <w:i/>
          <w:szCs w:val="20"/>
          <w:highlight w:val="lightGray"/>
        </w:rPr>
        <w:t>Basisinformationsblätter für verpackte Anlageprodukte für Kleinanleger und Versicherungsanlageprodukte (PRIIPS)</w:t>
      </w:r>
    </w:p>
    <w:p w14:paraId="63FFFB3F" w14:textId="692AA7E1" w:rsidR="00F811CB" w:rsidRPr="005B66F8" w:rsidRDefault="00F811CB" w:rsidP="00494050">
      <w:pPr>
        <w:pStyle w:val="Listenabsatz"/>
        <w:numPr>
          <w:ilvl w:val="0"/>
          <w:numId w:val="36"/>
        </w:numPr>
        <w:jc w:val="both"/>
        <w:rPr>
          <w:rFonts w:cs="Arial"/>
          <w:i/>
          <w:szCs w:val="20"/>
          <w:highlight w:val="lightGray"/>
        </w:rPr>
      </w:pPr>
      <w:r w:rsidRPr="005B66F8">
        <w:rPr>
          <w:rFonts w:cs="Arial"/>
          <w:i/>
          <w:szCs w:val="20"/>
          <w:highlight w:val="lightGray"/>
        </w:rPr>
        <w:t>Zentralverwahrer-Verordnung (CSDR)</w:t>
      </w:r>
    </w:p>
    <w:p w14:paraId="49616B89" w14:textId="38F5C8A5" w:rsidR="00F811CB" w:rsidRDefault="00F811CB" w:rsidP="00494050">
      <w:pPr>
        <w:pStyle w:val="Listenabsatz"/>
        <w:numPr>
          <w:ilvl w:val="0"/>
          <w:numId w:val="36"/>
        </w:numPr>
        <w:jc w:val="both"/>
        <w:rPr>
          <w:rFonts w:cs="Arial"/>
          <w:i/>
          <w:szCs w:val="20"/>
          <w:highlight w:val="lightGray"/>
        </w:rPr>
      </w:pPr>
      <w:r w:rsidRPr="005B66F8">
        <w:rPr>
          <w:rFonts w:cs="Arial"/>
          <w:i/>
          <w:szCs w:val="20"/>
          <w:highlight w:val="lightGray"/>
        </w:rPr>
        <w:t xml:space="preserve">Hypothekar- und Immobilienkreditgesetz (HIKG) </w:t>
      </w:r>
    </w:p>
    <w:p w14:paraId="481F2AFF" w14:textId="7B371AFE" w:rsidR="006D26BF" w:rsidRPr="006D26BF" w:rsidRDefault="006D26BF" w:rsidP="006D26BF">
      <w:pPr>
        <w:pStyle w:val="Listenabsatz"/>
        <w:numPr>
          <w:ilvl w:val="0"/>
          <w:numId w:val="36"/>
        </w:numPr>
        <w:jc w:val="both"/>
        <w:rPr>
          <w:rFonts w:cs="Arial"/>
          <w:i/>
          <w:szCs w:val="20"/>
          <w:highlight w:val="lightGray"/>
        </w:rPr>
      </w:pPr>
      <w:r w:rsidRPr="006D26BF">
        <w:rPr>
          <w:rFonts w:cs="Arial"/>
          <w:i/>
          <w:szCs w:val="20"/>
          <w:highlight w:val="lightGray"/>
        </w:rPr>
        <w:t>Gesetz zur Durchführung der Verordnung (EU) 2023/1114 über Märkte für Kryptowerte (EWR-MiCAR-Durchführungsgesetz, EWR-MiCAR-DG)</w:t>
      </w:r>
    </w:p>
    <w:p w14:paraId="60112F17" w14:textId="77777777" w:rsidR="00801D7B" w:rsidRDefault="00801D7B" w:rsidP="00CB3EE6">
      <w:pPr>
        <w:jc w:val="both"/>
      </w:pPr>
    </w:p>
    <w:p w14:paraId="0E486378" w14:textId="77777777" w:rsidR="001469E9" w:rsidRDefault="001469E9" w:rsidP="001469E9">
      <w:pPr>
        <w:pStyle w:val="Listenabsatz"/>
        <w:ind w:left="1224"/>
        <w:jc w:val="both"/>
      </w:pPr>
    </w:p>
    <w:p w14:paraId="0A1CAB78" w14:textId="77777777" w:rsidR="001469E9" w:rsidRDefault="009464E8" w:rsidP="006F7AB5">
      <w:pPr>
        <w:pStyle w:val="FINMAGliederungEbene1"/>
      </w:pPr>
      <w:bookmarkStart w:id="89" w:name="_Toc216425830"/>
      <w:r>
        <w:t>Weitere Bemerkungen</w:t>
      </w:r>
      <w:bookmarkEnd w:id="89"/>
    </w:p>
    <w:p w14:paraId="08EAC8E7" w14:textId="77777777" w:rsidR="009464E8" w:rsidRDefault="009464E8" w:rsidP="009464E8">
      <w:pPr>
        <w:pStyle w:val="Listenabsatz"/>
        <w:ind w:left="360"/>
        <w:jc w:val="both"/>
      </w:pPr>
    </w:p>
    <w:p w14:paraId="322A0323" w14:textId="5D5CE6AD" w:rsidR="009464E8" w:rsidRDefault="009464E8" w:rsidP="009464E8">
      <w:pPr>
        <w:jc w:val="both"/>
        <w:rPr>
          <w:rFonts w:ascii="Arial" w:hAnsi="Arial" w:cs="Arial"/>
          <w:i/>
          <w:sz w:val="20"/>
          <w:szCs w:val="20"/>
        </w:rPr>
      </w:pPr>
      <w:r w:rsidRPr="009464E8">
        <w:rPr>
          <w:rFonts w:ascii="Arial" w:hAnsi="Arial" w:cs="Arial"/>
          <w:i/>
          <w:sz w:val="20"/>
          <w:szCs w:val="20"/>
          <w:highlight w:val="lightGray"/>
        </w:rPr>
        <w:t xml:space="preserve">Die weiteren Bemerkungen/Hinweise dienen der Ergänzung der vorgehend aufgeführten Sachverhalte. Sie sollen, wo es die </w:t>
      </w:r>
      <w:r w:rsidR="009F1ACA">
        <w:rPr>
          <w:rFonts w:ascii="Arial" w:hAnsi="Arial" w:cs="Arial"/>
          <w:i/>
          <w:sz w:val="20"/>
          <w:szCs w:val="20"/>
          <w:highlight w:val="lightGray"/>
        </w:rPr>
        <w:t>Revisionsstelle</w:t>
      </w:r>
      <w:r w:rsidRPr="009464E8">
        <w:rPr>
          <w:rFonts w:ascii="Arial" w:hAnsi="Arial" w:cs="Arial"/>
          <w:i/>
          <w:sz w:val="20"/>
          <w:szCs w:val="20"/>
          <w:highlight w:val="lightGray"/>
        </w:rPr>
        <w:t xml:space="preserve"> für erforderlich hält, dazu dienen, das Gesamtbild des Berichts über die Aufsichtsprüfung abzurunden. Sie dürfen nicht so formuliert werden, dass sie die im vorliegenden Bericht eindeutig getroffenen Prüfbestätigungen der </w:t>
      </w:r>
      <w:r w:rsidR="009F1ACA">
        <w:rPr>
          <w:rFonts w:ascii="Arial" w:hAnsi="Arial" w:cs="Arial"/>
          <w:i/>
          <w:sz w:val="20"/>
          <w:szCs w:val="20"/>
          <w:highlight w:val="lightGray"/>
        </w:rPr>
        <w:t>Revisionsstelle</w:t>
      </w:r>
      <w:r w:rsidRPr="009464E8">
        <w:rPr>
          <w:rFonts w:ascii="Arial" w:hAnsi="Arial" w:cs="Arial"/>
          <w:i/>
          <w:sz w:val="20"/>
          <w:szCs w:val="20"/>
          <w:highlight w:val="lightGray"/>
        </w:rPr>
        <w:t xml:space="preserve"> relativieren.</w:t>
      </w:r>
      <w:r>
        <w:rPr>
          <w:rFonts w:ascii="Arial" w:hAnsi="Arial" w:cs="Arial"/>
          <w:i/>
          <w:sz w:val="20"/>
          <w:szCs w:val="20"/>
        </w:rPr>
        <w:t xml:space="preserve"> </w:t>
      </w:r>
    </w:p>
    <w:p w14:paraId="10C7188E" w14:textId="77777777" w:rsidR="00543DCA" w:rsidRDefault="00543DCA" w:rsidP="009464E8">
      <w:pPr>
        <w:jc w:val="both"/>
        <w:rPr>
          <w:rFonts w:ascii="Arial" w:hAnsi="Arial" w:cs="Arial"/>
          <w:i/>
          <w:sz w:val="20"/>
          <w:szCs w:val="20"/>
        </w:rPr>
      </w:pPr>
    </w:p>
    <w:p w14:paraId="12D5BCEF" w14:textId="77777777" w:rsidR="002D19EC" w:rsidRDefault="002D19EC" w:rsidP="00CB3EE6">
      <w:pPr>
        <w:pStyle w:val="Listenabsatz"/>
        <w:ind w:left="360"/>
        <w:jc w:val="both"/>
      </w:pPr>
    </w:p>
    <w:p w14:paraId="2CBDEB20" w14:textId="13F6E4FD" w:rsidR="001469E9" w:rsidRDefault="001469E9" w:rsidP="006F7AB5">
      <w:pPr>
        <w:pStyle w:val="FINMAGliederungEbene1"/>
      </w:pPr>
      <w:bookmarkStart w:id="90" w:name="_Toc216425831"/>
      <w:r>
        <w:t xml:space="preserve">Unterschrift / Bestätigung der </w:t>
      </w:r>
      <w:r w:rsidR="009F1ACA">
        <w:rPr>
          <w:i/>
          <w:szCs w:val="20"/>
          <w:highlight w:val="lightGray"/>
        </w:rPr>
        <w:t>Revisionsstelle</w:t>
      </w:r>
      <w:bookmarkEnd w:id="90"/>
    </w:p>
    <w:p w14:paraId="0CF1FD59" w14:textId="77777777" w:rsidR="001469E9" w:rsidRDefault="001469E9" w:rsidP="001469E9">
      <w:pPr>
        <w:jc w:val="both"/>
      </w:pPr>
    </w:p>
    <w:p w14:paraId="3A910730" w14:textId="68F634FA" w:rsidR="001469E9" w:rsidRPr="009464E8" w:rsidRDefault="001469E9" w:rsidP="001469E9">
      <w:pPr>
        <w:jc w:val="both"/>
        <w:rPr>
          <w:rFonts w:ascii="Arial" w:hAnsi="Arial" w:cs="Arial"/>
          <w:i/>
          <w:sz w:val="20"/>
          <w:szCs w:val="20"/>
        </w:rPr>
      </w:pPr>
      <w:r w:rsidRPr="009464E8">
        <w:rPr>
          <w:rFonts w:ascii="Arial" w:hAnsi="Arial" w:cs="Arial"/>
          <w:i/>
          <w:sz w:val="20"/>
          <w:szCs w:val="20"/>
          <w:highlight w:val="lightGray"/>
        </w:rPr>
        <w:t xml:space="preserve">Der Bericht über die Aufsichtsprüfung </w:t>
      </w:r>
      <w:r w:rsidR="00A04645" w:rsidRPr="009464E8">
        <w:rPr>
          <w:rFonts w:ascii="Arial" w:hAnsi="Arial" w:cs="Arial"/>
          <w:i/>
          <w:sz w:val="20"/>
          <w:szCs w:val="20"/>
          <w:highlight w:val="lightGray"/>
        </w:rPr>
        <w:t xml:space="preserve">von </w:t>
      </w:r>
      <w:r w:rsidR="006179DA" w:rsidRPr="00BF6946">
        <w:rPr>
          <w:rFonts w:ascii="Arial" w:hAnsi="Arial" w:cs="Arial"/>
          <w:i/>
          <w:sz w:val="20"/>
          <w:szCs w:val="20"/>
          <w:highlight w:val="lightGray"/>
        </w:rPr>
        <w:t>Bank bzw. der Gruppe</w:t>
      </w:r>
      <w:r w:rsidR="006179DA" w:rsidRPr="009464E8" w:rsidDel="006179DA">
        <w:rPr>
          <w:rFonts w:ascii="Arial" w:hAnsi="Arial" w:cs="Arial"/>
          <w:i/>
          <w:sz w:val="20"/>
          <w:szCs w:val="20"/>
          <w:highlight w:val="lightGray"/>
        </w:rPr>
        <w:t xml:space="preserve"> </w:t>
      </w:r>
      <w:r w:rsidR="00ED6CC2">
        <w:rPr>
          <w:rFonts w:ascii="Arial" w:hAnsi="Arial" w:cs="Arial"/>
          <w:i/>
          <w:sz w:val="20"/>
          <w:szCs w:val="20"/>
          <w:highlight w:val="lightGray"/>
        </w:rPr>
        <w:t>ist</w:t>
      </w:r>
      <w:r w:rsidR="00ED6CC2" w:rsidRPr="009464E8">
        <w:rPr>
          <w:rFonts w:ascii="Arial" w:hAnsi="Arial" w:cs="Arial"/>
          <w:i/>
          <w:sz w:val="20"/>
          <w:szCs w:val="20"/>
          <w:highlight w:val="lightGray"/>
        </w:rPr>
        <w:t xml:space="preserve"> </w:t>
      </w:r>
      <w:r w:rsidR="00A04645" w:rsidRPr="009464E8">
        <w:rPr>
          <w:rFonts w:ascii="Arial" w:hAnsi="Arial" w:cs="Arial"/>
          <w:i/>
          <w:sz w:val="20"/>
          <w:szCs w:val="20"/>
          <w:highlight w:val="lightGray"/>
        </w:rPr>
        <w:t xml:space="preserve">vom leitenden Revisor sowie einer weiteren Person mit Zeichnungsberechtigung </w:t>
      </w:r>
      <w:r w:rsidR="009464E8" w:rsidRPr="009464E8">
        <w:rPr>
          <w:rFonts w:ascii="Arial" w:hAnsi="Arial" w:cs="Arial"/>
          <w:i/>
          <w:sz w:val="20"/>
          <w:szCs w:val="20"/>
          <w:highlight w:val="lightGray"/>
        </w:rPr>
        <w:t>zu unterzeichnen.</w:t>
      </w:r>
      <w:r w:rsidR="009464E8" w:rsidRPr="009464E8">
        <w:rPr>
          <w:rFonts w:ascii="Arial" w:hAnsi="Arial" w:cs="Arial"/>
          <w:i/>
          <w:sz w:val="20"/>
          <w:szCs w:val="20"/>
        </w:rPr>
        <w:t xml:space="preserve"> </w:t>
      </w:r>
    </w:p>
    <w:p w14:paraId="68CD9DB1" w14:textId="77777777" w:rsidR="001469E9" w:rsidRDefault="001469E9" w:rsidP="001469E9">
      <w:pPr>
        <w:jc w:val="both"/>
      </w:pPr>
    </w:p>
    <w:p w14:paraId="332786AA" w14:textId="77777777" w:rsidR="001469E9" w:rsidRDefault="001469E9" w:rsidP="006F7AB5">
      <w:pPr>
        <w:pStyle w:val="FINMAGliederungEbene1"/>
      </w:pPr>
      <w:bookmarkStart w:id="91" w:name="_Toc216425832"/>
      <w:r>
        <w:t>Anhang</w:t>
      </w:r>
      <w:bookmarkEnd w:id="91"/>
    </w:p>
    <w:p w14:paraId="0E65E8CD" w14:textId="77777777" w:rsidR="001469E9" w:rsidRDefault="001469E9" w:rsidP="001469E9">
      <w:pPr>
        <w:pStyle w:val="Listenabsatz"/>
        <w:ind w:left="360"/>
        <w:jc w:val="both"/>
      </w:pPr>
    </w:p>
    <w:p w14:paraId="76A0A70F" w14:textId="77777777" w:rsidR="007A36D2" w:rsidRDefault="005316F9" w:rsidP="000D36E0">
      <w:pPr>
        <w:jc w:val="both"/>
        <w:rPr>
          <w:rFonts w:ascii="Arial" w:hAnsi="Arial" w:cs="Arial"/>
          <w:i/>
          <w:sz w:val="20"/>
          <w:szCs w:val="20"/>
          <w:highlight w:val="lightGray"/>
        </w:rPr>
      </w:pPr>
      <w:r>
        <w:rPr>
          <w:rFonts w:ascii="Arial" w:hAnsi="Arial" w:cs="Arial"/>
          <w:i/>
          <w:sz w:val="20"/>
          <w:szCs w:val="20"/>
          <w:highlight w:val="lightGray"/>
        </w:rPr>
        <w:t>Folgende Unterlagen sind mit dem Bericht über die Aufsichtsprüfung einzureichen:</w:t>
      </w:r>
    </w:p>
    <w:p w14:paraId="0C35D932" w14:textId="77777777" w:rsidR="005316F9" w:rsidRDefault="005316F9" w:rsidP="000D36E0">
      <w:pPr>
        <w:jc w:val="both"/>
        <w:rPr>
          <w:rFonts w:ascii="Arial" w:hAnsi="Arial" w:cs="Arial"/>
          <w:i/>
          <w:sz w:val="20"/>
          <w:szCs w:val="20"/>
          <w:highlight w:val="lightGray"/>
        </w:rPr>
      </w:pPr>
    </w:p>
    <w:p w14:paraId="08DA18A0" w14:textId="77777777" w:rsidR="005316F9" w:rsidRPr="00CB3EE6" w:rsidRDefault="005316F9" w:rsidP="005316F9">
      <w:pPr>
        <w:pStyle w:val="Listenabsatz"/>
        <w:numPr>
          <w:ilvl w:val="0"/>
          <w:numId w:val="19"/>
        </w:numPr>
        <w:jc w:val="both"/>
        <w:rPr>
          <w:rFonts w:cs="Arial"/>
          <w:szCs w:val="20"/>
          <w:highlight w:val="lightGray"/>
        </w:rPr>
      </w:pPr>
      <w:r w:rsidRPr="00CB3EE6">
        <w:rPr>
          <w:rFonts w:cs="Arial"/>
          <w:szCs w:val="20"/>
          <w:highlight w:val="lightGray"/>
        </w:rPr>
        <w:t>Formular Risikoanalyse / Prüfstrategie; falls Abweichungen zu an die FMA eingereichte</w:t>
      </w:r>
      <w:r w:rsidR="0028626E" w:rsidRPr="00CB3EE6">
        <w:rPr>
          <w:rFonts w:cs="Arial"/>
          <w:szCs w:val="20"/>
          <w:highlight w:val="lightGray"/>
        </w:rPr>
        <w:t>n</w:t>
      </w:r>
      <w:r w:rsidRPr="00CB3EE6">
        <w:rPr>
          <w:rFonts w:cs="Arial"/>
          <w:szCs w:val="20"/>
          <w:highlight w:val="lightGray"/>
        </w:rPr>
        <w:t xml:space="preserve"> Version</w:t>
      </w:r>
      <w:r w:rsidR="0028626E" w:rsidRPr="00CB3EE6">
        <w:rPr>
          <w:rFonts w:cs="Arial"/>
          <w:szCs w:val="20"/>
          <w:highlight w:val="lightGray"/>
        </w:rPr>
        <w:t>en</w:t>
      </w:r>
      <w:r w:rsidRPr="00CB3EE6">
        <w:rPr>
          <w:rFonts w:cs="Arial"/>
          <w:szCs w:val="20"/>
          <w:highlight w:val="lightGray"/>
        </w:rPr>
        <w:t xml:space="preserve"> bestehen</w:t>
      </w:r>
    </w:p>
    <w:p w14:paraId="4A4A1D66"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Aktuelle Organigramme (im Minimum mit Angabe der verantwortlichen Personen pro Geschäftsbereich bzw. Abteilung)</w:t>
      </w:r>
    </w:p>
    <w:p w14:paraId="1856AD78" w14:textId="77777777" w:rsidR="0028626E" w:rsidRPr="00CB3EE6" w:rsidRDefault="0028626E" w:rsidP="005316F9">
      <w:pPr>
        <w:pStyle w:val="Listenabsatz"/>
        <w:numPr>
          <w:ilvl w:val="0"/>
          <w:numId w:val="19"/>
        </w:numPr>
        <w:jc w:val="both"/>
        <w:rPr>
          <w:rFonts w:cs="Arial"/>
          <w:szCs w:val="20"/>
          <w:highlight w:val="lightGray"/>
        </w:rPr>
      </w:pPr>
      <w:r w:rsidRPr="00CB3EE6">
        <w:rPr>
          <w:rFonts w:cs="Arial"/>
          <w:szCs w:val="20"/>
          <w:highlight w:val="lightGray"/>
        </w:rPr>
        <w:t>Grafische Darstellung der Gruppenstruktur inkl. Beteiligungsverhältnisse</w:t>
      </w:r>
    </w:p>
    <w:p w14:paraId="50917267" w14:textId="77777777" w:rsidR="004C7DB3" w:rsidRPr="005316F9" w:rsidRDefault="004C7DB3" w:rsidP="0018175F">
      <w:pPr>
        <w:pStyle w:val="Listenabsatz"/>
        <w:jc w:val="both"/>
        <w:rPr>
          <w:rFonts w:cs="Arial"/>
          <w:i/>
          <w:szCs w:val="20"/>
          <w:highlight w:val="lightGray"/>
        </w:rPr>
      </w:pPr>
    </w:p>
    <w:p w14:paraId="76DEC10A" w14:textId="77777777" w:rsidR="007A36D2" w:rsidRPr="00515AB5" w:rsidRDefault="007A36D2" w:rsidP="000D36E0">
      <w:pPr>
        <w:jc w:val="both"/>
        <w:rPr>
          <w:rFonts w:ascii="Arial" w:hAnsi="Arial" w:cs="Arial"/>
          <w:i/>
          <w:sz w:val="20"/>
          <w:szCs w:val="20"/>
          <w:highlight w:val="lightGray"/>
        </w:rPr>
      </w:pPr>
    </w:p>
    <w:sectPr w:rsidR="007A36D2" w:rsidRPr="00515AB5" w:rsidSect="008D629D">
      <w:headerReference w:type="first" r:id="rId16"/>
      <w:footerReference w:type="first" r:id="rId17"/>
      <w:pgSz w:w="11906" w:h="16838" w:code="9"/>
      <w:pgMar w:top="2892" w:right="1191" w:bottom="1418" w:left="1191" w:header="851" w:footer="454" w:gutter="0"/>
      <w:paperSrc w:first="259" w:other="25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49F62" w14:textId="77777777" w:rsidR="00A938AE" w:rsidRDefault="00A938AE">
      <w:r>
        <w:separator/>
      </w:r>
    </w:p>
  </w:endnote>
  <w:endnote w:type="continuationSeparator" w:id="0">
    <w:p w14:paraId="6C231F82" w14:textId="77777777" w:rsidR="00A938AE" w:rsidRDefault="00A93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4E7B" w14:textId="77777777" w:rsidR="00A938AE" w:rsidRDefault="00A938A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15B591F0" w14:textId="77777777" w:rsidR="00A938AE" w:rsidRDefault="00A938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B7473" w14:textId="77777777" w:rsidR="00A938AE" w:rsidRPr="000864B2" w:rsidRDefault="00A938AE" w:rsidP="008D629D">
    <w:pPr>
      <w:spacing w:line="193" w:lineRule="atLeast"/>
      <w:rPr>
        <w:color w:val="666666"/>
        <w:sz w:val="16"/>
      </w:rPr>
    </w:pPr>
  </w:p>
  <w:p w14:paraId="6CEF623A" w14:textId="41A68B29" w:rsidR="00A938AE" w:rsidRDefault="00A938AE" w:rsidP="008D629D">
    <w:pPr>
      <w:pStyle w:val="Fusszeile"/>
    </w:pPr>
    <w:r>
      <w:tab/>
    </w:r>
    <w:r>
      <w:tab/>
    </w: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100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6450F" w14:textId="77777777" w:rsidR="00A938AE" w:rsidRPr="000864B2" w:rsidRDefault="00A938AE" w:rsidP="000E5A8C">
    <w:pPr>
      <w:spacing w:line="193" w:lineRule="atLeast"/>
      <w:rPr>
        <w:color w:val="666666"/>
        <w:sz w:val="16"/>
      </w:rPr>
    </w:pPr>
  </w:p>
  <w:p w14:paraId="31843EF8" w14:textId="410085A9" w:rsidR="00A938AE" w:rsidRDefault="00A938AE" w:rsidP="000E5A8C">
    <w:pPr>
      <w:pStyle w:val="Fusszeile"/>
    </w:pPr>
    <w:r>
      <w:tab/>
    </w:r>
    <w:r>
      <w:tab/>
    </w:r>
    <w:r>
      <w:fldChar w:fldCharType="begin"/>
    </w:r>
    <w:r>
      <w:instrText xml:space="preserve"> PAGE </w:instrText>
    </w:r>
    <w:r>
      <w:fldChar w:fldCharType="separate"/>
    </w:r>
    <w:r>
      <w:rPr>
        <w:noProof/>
      </w:rPr>
      <w:t>2</w:t>
    </w:r>
    <w:r>
      <w:fldChar w:fldCharType="end"/>
    </w:r>
    <w:r>
      <w:t xml:space="preserve"> / </w:t>
    </w:r>
    <w:r>
      <w:fldChar w:fldCharType="begin"/>
    </w:r>
    <w:r>
      <w:instrText xml:space="preserve"> NUMPAGES </w:instrText>
    </w:r>
    <w:r>
      <w:fldChar w:fldCharType="separate"/>
    </w:r>
    <w:r>
      <w:rPr>
        <w:noProof/>
      </w:rPr>
      <w:t>95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4095F" w14:textId="77777777" w:rsidR="00A938AE" w:rsidRDefault="00A938AE">
      <w:r>
        <w:separator/>
      </w:r>
    </w:p>
  </w:footnote>
  <w:footnote w:type="continuationSeparator" w:id="0">
    <w:p w14:paraId="792DA7DB" w14:textId="77777777" w:rsidR="00A938AE" w:rsidRDefault="00A93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669CB" w14:textId="77777777" w:rsidR="00A938AE" w:rsidRDefault="00A938AE">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297</w:t>
    </w:r>
    <w:r>
      <w:rPr>
        <w:rStyle w:val="Seitenzahl"/>
      </w:rPr>
      <w:fldChar w:fldCharType="end"/>
    </w:r>
  </w:p>
  <w:p w14:paraId="53154C03" w14:textId="77777777" w:rsidR="00A938AE" w:rsidRDefault="00A938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73742" w14:textId="77777777" w:rsidR="00A938AE" w:rsidRDefault="00A938AE" w:rsidP="008D629D">
    <w:pPr>
      <w:pStyle w:val="Kopfzeile"/>
      <w:tabs>
        <w:tab w:val="clear" w:pos="9072"/>
        <w:tab w:val="right" w:pos="949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B809E" w14:textId="485B38DB" w:rsidR="00A938AE" w:rsidRDefault="00A938AE">
    <w:pPr>
      <w:pStyle w:val="Kopfzeile"/>
    </w:pPr>
  </w:p>
  <w:p w14:paraId="2AF1E359" w14:textId="77777777" w:rsidR="00A938AE" w:rsidRDefault="00A938AE" w:rsidP="00D82DD9">
    <w:pPr>
      <w:pStyle w:val="Kopfzeile"/>
    </w:pPr>
  </w:p>
  <w:p w14:paraId="1CAB9EC8" w14:textId="77777777" w:rsidR="00A938AE" w:rsidRDefault="00A938AE" w:rsidP="00D82DD9">
    <w:pPr>
      <w:pStyle w:val="Kopfzeile"/>
    </w:pPr>
  </w:p>
  <w:p w14:paraId="7EF72323" w14:textId="77777777" w:rsidR="00A938AE" w:rsidRDefault="00A938AE" w:rsidP="00D82DD9">
    <w:pPr>
      <w:pStyle w:val="Kopfzeile"/>
    </w:pPr>
  </w:p>
  <w:p w14:paraId="6A0BF6AA" w14:textId="77777777" w:rsidR="00A938AE" w:rsidRDefault="00A938AE" w:rsidP="00D82DD9">
    <w:pPr>
      <w:pStyle w:val="Kopfzeile"/>
    </w:pPr>
  </w:p>
  <w:p w14:paraId="6802C8D3" w14:textId="77777777" w:rsidR="00A938AE" w:rsidRDefault="00A938AE" w:rsidP="00D82DD9">
    <w:pPr>
      <w:pStyle w:val="Kopfzeile"/>
    </w:pPr>
  </w:p>
  <w:p w14:paraId="4DDF242A" w14:textId="77777777" w:rsidR="00A938AE" w:rsidRDefault="00A938AE" w:rsidP="00D82DD9">
    <w:pPr>
      <w:pStyle w:val="Kopfzeile"/>
    </w:pPr>
  </w:p>
  <w:p w14:paraId="047B2D1D" w14:textId="77777777" w:rsidR="00A938AE" w:rsidRDefault="00A938AE" w:rsidP="00D82DD9">
    <w:pPr>
      <w:pStyle w:val="Kopfzeile"/>
    </w:pPr>
  </w:p>
  <w:p w14:paraId="047E5A73" w14:textId="77777777" w:rsidR="00A938AE" w:rsidRDefault="00A938AE" w:rsidP="00D82DD9">
    <w:pPr>
      <w:pStyle w:val="Kopfzeile"/>
    </w:pPr>
  </w:p>
  <w:p w14:paraId="7E60A7FE" w14:textId="77777777" w:rsidR="00A938AE" w:rsidRDefault="00A938AE" w:rsidP="00D82DD9">
    <w:pPr>
      <w:pStyle w:val="Kopfzeile"/>
    </w:pPr>
  </w:p>
  <w:p w14:paraId="5D19C0A5" w14:textId="0F344607" w:rsidR="00A938AE" w:rsidRDefault="00A938AE" w:rsidP="00D82DD9">
    <w:pPr>
      <w:pStyle w:val="Kopfzeile"/>
    </w:pPr>
    <w:r>
      <w:rPr>
        <w:rFonts w:asciiTheme="minorHAnsi" w:hAnsiTheme="minorHAnsi"/>
        <w:noProof/>
      </w:rPr>
      <w:drawing>
        <wp:anchor distT="0" distB="0" distL="114300" distR="114300" simplePos="0" relativeHeight="251660288" behindDoc="0" locked="1" layoutInCell="1" allowOverlap="1" wp14:anchorId="636F2208" wp14:editId="2A6C1E38">
          <wp:simplePos x="0" y="0"/>
          <wp:positionH relativeFrom="margin">
            <wp:align>center</wp:align>
          </wp:positionH>
          <wp:positionV relativeFrom="page">
            <wp:posOffset>225425</wp:posOffset>
          </wp:positionV>
          <wp:extent cx="1259840" cy="1259840"/>
          <wp:effectExtent l="0" t="0" r="0" b="0"/>
          <wp:wrapNone/>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1259840"/>
                  </a:xfrm>
                  <a:prstGeom prst="rect">
                    <a:avLst/>
                  </a:prstGeom>
                  <a:noFill/>
                </pic:spPr>
              </pic:pic>
            </a:graphicData>
          </a:graphic>
          <wp14:sizeRelH relativeFrom="margin">
            <wp14:pctWidth>0</wp14:pctWidth>
          </wp14:sizeRelH>
          <wp14:sizeRelV relativeFrom="margin">
            <wp14:pctHeight>0</wp14:pctHeight>
          </wp14:sizeRelV>
        </wp:anchor>
      </w:drawing>
    </w:r>
  </w:p>
  <w:p w14:paraId="40006012" w14:textId="77777777" w:rsidR="00A938AE" w:rsidRDefault="00A938AE" w:rsidP="00D82DD9">
    <w:pPr>
      <w:pStyle w:val="Kopfzeile"/>
    </w:pPr>
  </w:p>
  <w:p w14:paraId="69725C1E" w14:textId="77777777" w:rsidR="00A938AE" w:rsidRDefault="00A938AE" w:rsidP="00D82DD9">
    <w:pPr>
      <w:pStyle w:val="Kopfzeile"/>
    </w:pPr>
  </w:p>
  <w:p w14:paraId="6344D2F9" w14:textId="77777777" w:rsidR="00A938AE" w:rsidRDefault="00A938AE" w:rsidP="00D82DD9">
    <w:pPr>
      <w:pStyle w:val="Kopfzeile"/>
    </w:pPr>
  </w:p>
  <w:p w14:paraId="625E7FC2" w14:textId="77777777" w:rsidR="00A938AE" w:rsidRDefault="00A938AE" w:rsidP="00D82DD9">
    <w:pPr>
      <w:pStyle w:val="Kopfzeile"/>
    </w:pPr>
  </w:p>
  <w:p w14:paraId="5E58257E" w14:textId="77777777" w:rsidR="00A938AE" w:rsidRDefault="00A938AE" w:rsidP="00D82DD9">
    <w:pPr>
      <w:pStyle w:val="Kopfzeile"/>
    </w:pPr>
    <w:r>
      <w:rPr>
        <w:noProof/>
        <w:lang w:eastAsia="de-CH"/>
      </w:rPr>
      <w:drawing>
        <wp:anchor distT="0" distB="0" distL="114300" distR="114300" simplePos="0" relativeHeight="251658240" behindDoc="0" locked="0" layoutInCell="1" allowOverlap="1" wp14:anchorId="60F26D0F" wp14:editId="4F4EB702">
          <wp:simplePos x="0" y="0"/>
          <wp:positionH relativeFrom="column">
            <wp:posOffset>-911225</wp:posOffset>
          </wp:positionH>
          <wp:positionV relativeFrom="paragraph">
            <wp:posOffset>168910</wp:posOffset>
          </wp:positionV>
          <wp:extent cx="7602855" cy="1869440"/>
          <wp:effectExtent l="0" t="0" r="0" b="0"/>
          <wp:wrapNone/>
          <wp:docPr id="2" name="Bild 6" descr="F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M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02855" cy="1869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341D0" w14:textId="77777777" w:rsidR="00A938AE" w:rsidRDefault="00A938AE" w:rsidP="00D82DD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C8C47" w14:textId="77777777" w:rsidR="00A938AE" w:rsidRDefault="00A938A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EC2687E"/>
    <w:lvl w:ilvl="0">
      <w:start w:val="1"/>
      <w:numFmt w:val="bullet"/>
      <w:pStyle w:val="Aufzhlungszeichen"/>
      <w:lvlText w:val="-"/>
      <w:lvlJc w:val="left"/>
      <w:pPr>
        <w:tabs>
          <w:tab w:val="num" w:pos="284"/>
        </w:tabs>
        <w:ind w:left="284" w:hanging="284"/>
      </w:pPr>
      <w:rPr>
        <w:rFonts w:ascii="Arial" w:hAnsi="Arial" w:hint="default"/>
      </w:rPr>
    </w:lvl>
  </w:abstractNum>
  <w:abstractNum w:abstractNumId="1" w15:restartNumberingAfterBreak="0">
    <w:nsid w:val="08BA09AC"/>
    <w:multiLevelType w:val="hybridMultilevel"/>
    <w:tmpl w:val="63D6749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99E2F74"/>
    <w:multiLevelType w:val="hybridMultilevel"/>
    <w:tmpl w:val="7882B036"/>
    <w:lvl w:ilvl="0" w:tplc="AB0EDA6C">
      <w:start w:val="1"/>
      <w:numFmt w:val="bullet"/>
      <w:pStyle w:val="FINMAAufzhlungEbene2"/>
      <w:lvlText w:val=""/>
      <w:lvlJc w:val="left"/>
      <w:pPr>
        <w:ind w:left="1128" w:hanging="360"/>
      </w:pPr>
      <w:rPr>
        <w:rFonts w:ascii="Symbol" w:hAnsi="Symbol" w:hint="default"/>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3" w15:restartNumberingAfterBreak="0">
    <w:nsid w:val="0CD15E23"/>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23826A9"/>
    <w:multiLevelType w:val="hybridMultilevel"/>
    <w:tmpl w:val="CBFE58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41A603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4C6328"/>
    <w:multiLevelType w:val="hybridMultilevel"/>
    <w:tmpl w:val="6E4E2520"/>
    <w:lvl w:ilvl="0" w:tplc="9BD25E68">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15F63FD9"/>
    <w:multiLevelType w:val="hybridMultilevel"/>
    <w:tmpl w:val="63424DE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1B7C1BB0"/>
    <w:multiLevelType w:val="hybridMultilevel"/>
    <w:tmpl w:val="DE68C8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CB3453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32F25"/>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1F2E71C7"/>
    <w:multiLevelType w:val="hybridMultilevel"/>
    <w:tmpl w:val="5B2C1E82"/>
    <w:lvl w:ilvl="0" w:tplc="08070003">
      <w:start w:val="1"/>
      <w:numFmt w:val="bullet"/>
      <w:lvlText w:val="o"/>
      <w:lvlJc w:val="left"/>
      <w:pPr>
        <w:ind w:left="754" w:hanging="360"/>
      </w:pPr>
      <w:rPr>
        <w:rFonts w:ascii="Courier New" w:hAnsi="Courier New" w:cs="Courier New" w:hint="default"/>
      </w:rPr>
    </w:lvl>
    <w:lvl w:ilvl="1" w:tplc="08070003" w:tentative="1">
      <w:start w:val="1"/>
      <w:numFmt w:val="bullet"/>
      <w:lvlText w:val="o"/>
      <w:lvlJc w:val="left"/>
      <w:pPr>
        <w:ind w:left="1474" w:hanging="360"/>
      </w:pPr>
      <w:rPr>
        <w:rFonts w:ascii="Courier New" w:hAnsi="Courier New" w:cs="Courier New" w:hint="default"/>
      </w:rPr>
    </w:lvl>
    <w:lvl w:ilvl="2" w:tplc="08070005" w:tentative="1">
      <w:start w:val="1"/>
      <w:numFmt w:val="bullet"/>
      <w:lvlText w:val=""/>
      <w:lvlJc w:val="left"/>
      <w:pPr>
        <w:ind w:left="2194" w:hanging="360"/>
      </w:pPr>
      <w:rPr>
        <w:rFonts w:ascii="Wingdings" w:hAnsi="Wingdings" w:hint="default"/>
      </w:rPr>
    </w:lvl>
    <w:lvl w:ilvl="3" w:tplc="08070001" w:tentative="1">
      <w:start w:val="1"/>
      <w:numFmt w:val="bullet"/>
      <w:lvlText w:val=""/>
      <w:lvlJc w:val="left"/>
      <w:pPr>
        <w:ind w:left="2914" w:hanging="360"/>
      </w:pPr>
      <w:rPr>
        <w:rFonts w:ascii="Symbol" w:hAnsi="Symbol" w:hint="default"/>
      </w:rPr>
    </w:lvl>
    <w:lvl w:ilvl="4" w:tplc="08070003" w:tentative="1">
      <w:start w:val="1"/>
      <w:numFmt w:val="bullet"/>
      <w:lvlText w:val="o"/>
      <w:lvlJc w:val="left"/>
      <w:pPr>
        <w:ind w:left="3634" w:hanging="360"/>
      </w:pPr>
      <w:rPr>
        <w:rFonts w:ascii="Courier New" w:hAnsi="Courier New" w:cs="Courier New" w:hint="default"/>
      </w:rPr>
    </w:lvl>
    <w:lvl w:ilvl="5" w:tplc="08070005" w:tentative="1">
      <w:start w:val="1"/>
      <w:numFmt w:val="bullet"/>
      <w:lvlText w:val=""/>
      <w:lvlJc w:val="left"/>
      <w:pPr>
        <w:ind w:left="4354" w:hanging="360"/>
      </w:pPr>
      <w:rPr>
        <w:rFonts w:ascii="Wingdings" w:hAnsi="Wingdings" w:hint="default"/>
      </w:rPr>
    </w:lvl>
    <w:lvl w:ilvl="6" w:tplc="08070001" w:tentative="1">
      <w:start w:val="1"/>
      <w:numFmt w:val="bullet"/>
      <w:lvlText w:val=""/>
      <w:lvlJc w:val="left"/>
      <w:pPr>
        <w:ind w:left="5074" w:hanging="360"/>
      </w:pPr>
      <w:rPr>
        <w:rFonts w:ascii="Symbol" w:hAnsi="Symbol" w:hint="default"/>
      </w:rPr>
    </w:lvl>
    <w:lvl w:ilvl="7" w:tplc="08070003" w:tentative="1">
      <w:start w:val="1"/>
      <w:numFmt w:val="bullet"/>
      <w:lvlText w:val="o"/>
      <w:lvlJc w:val="left"/>
      <w:pPr>
        <w:ind w:left="5794" w:hanging="360"/>
      </w:pPr>
      <w:rPr>
        <w:rFonts w:ascii="Courier New" w:hAnsi="Courier New" w:cs="Courier New" w:hint="default"/>
      </w:rPr>
    </w:lvl>
    <w:lvl w:ilvl="8" w:tplc="08070005" w:tentative="1">
      <w:start w:val="1"/>
      <w:numFmt w:val="bullet"/>
      <w:lvlText w:val=""/>
      <w:lvlJc w:val="left"/>
      <w:pPr>
        <w:ind w:left="6514" w:hanging="360"/>
      </w:pPr>
      <w:rPr>
        <w:rFonts w:ascii="Wingdings" w:hAnsi="Wingdings" w:hint="default"/>
      </w:rPr>
    </w:lvl>
  </w:abstractNum>
  <w:abstractNum w:abstractNumId="12" w15:restartNumberingAfterBreak="0">
    <w:nsid w:val="20755C2E"/>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1091258"/>
    <w:multiLevelType w:val="multilevel"/>
    <w:tmpl w:val="69B84B26"/>
    <w:lvl w:ilvl="0">
      <w:start w:val="1"/>
      <w:numFmt w:val="decimal"/>
      <w:pStyle w:val="FINMAGliederungEbene1"/>
      <w:lvlText w:val="%1."/>
      <w:lvlJc w:val="left"/>
      <w:pPr>
        <w:tabs>
          <w:tab w:val="num" w:pos="432"/>
        </w:tabs>
        <w:ind w:left="432" w:hanging="432"/>
      </w:pPr>
      <w:rPr>
        <w:rFonts w:hint="default"/>
      </w:rPr>
    </w:lvl>
    <w:lvl w:ilvl="1">
      <w:start w:val="1"/>
      <w:numFmt w:val="decimal"/>
      <w:pStyle w:val="FINMAGliederungEbene2"/>
      <w:lvlText w:val="%1.%2"/>
      <w:lvlJc w:val="left"/>
      <w:pPr>
        <w:tabs>
          <w:tab w:val="num" w:pos="576"/>
        </w:tabs>
        <w:ind w:left="576" w:hanging="576"/>
      </w:pPr>
      <w:rPr>
        <w:rFonts w:hint="default"/>
      </w:rPr>
    </w:lvl>
    <w:lvl w:ilvl="2">
      <w:start w:val="1"/>
      <w:numFmt w:val="decimal"/>
      <w:pStyle w:val="FINMAGliederungEbene3"/>
      <w:lvlText w:val="%1.%2.%3"/>
      <w:lvlJc w:val="left"/>
      <w:pPr>
        <w:tabs>
          <w:tab w:val="num" w:pos="720"/>
        </w:tabs>
        <w:ind w:left="720" w:hanging="720"/>
      </w:pPr>
      <w:rPr>
        <w:lang w:val="x-none" w:eastAsia="x-none" w:bidi="x-none"/>
        <w:specVanish w:val="0"/>
      </w:rPr>
    </w:lvl>
    <w:lvl w:ilvl="3">
      <w:start w:val="1"/>
      <w:numFmt w:val="decimal"/>
      <w:pStyle w:val="FINMAGliederungEben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16A2815"/>
    <w:multiLevelType w:val="hybridMultilevel"/>
    <w:tmpl w:val="9460BB5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4D70B1D"/>
    <w:multiLevelType w:val="hybridMultilevel"/>
    <w:tmpl w:val="1A5C7B74"/>
    <w:lvl w:ilvl="0" w:tplc="73ACFE7A">
      <w:start w:val="1"/>
      <w:numFmt w:val="decimal"/>
      <w:pStyle w:val="Formatvorlageberschrift3TimesNewRoman13ptFettNichtKursivZ"/>
      <w:lvlText w:val="%1)"/>
      <w:lvlJc w:val="left"/>
      <w:pPr>
        <w:tabs>
          <w:tab w:val="num" w:pos="720"/>
        </w:tabs>
        <w:ind w:left="720" w:hanging="360"/>
      </w:pPr>
    </w:lvl>
    <w:lvl w:ilvl="1" w:tplc="08070019" w:tentative="1">
      <w:start w:val="1"/>
      <w:numFmt w:val="lowerLetter"/>
      <w:lvlText w:val="%2."/>
      <w:lvlJc w:val="left"/>
      <w:pPr>
        <w:tabs>
          <w:tab w:val="num" w:pos="1440"/>
        </w:tabs>
        <w:ind w:left="1440" w:hanging="360"/>
      </w:pPr>
    </w:lvl>
    <w:lvl w:ilvl="2" w:tplc="0807001B" w:tentative="1">
      <w:start w:val="1"/>
      <w:numFmt w:val="lowerRoman"/>
      <w:lvlText w:val="%3."/>
      <w:lvlJc w:val="right"/>
      <w:pPr>
        <w:tabs>
          <w:tab w:val="num" w:pos="2160"/>
        </w:tabs>
        <w:ind w:left="2160" w:hanging="180"/>
      </w:pPr>
    </w:lvl>
    <w:lvl w:ilvl="3" w:tplc="0807000F" w:tentative="1">
      <w:start w:val="1"/>
      <w:numFmt w:val="decimal"/>
      <w:lvlText w:val="%4."/>
      <w:lvlJc w:val="left"/>
      <w:pPr>
        <w:tabs>
          <w:tab w:val="num" w:pos="2880"/>
        </w:tabs>
        <w:ind w:left="2880" w:hanging="360"/>
      </w:pPr>
    </w:lvl>
    <w:lvl w:ilvl="4" w:tplc="08070019" w:tentative="1">
      <w:start w:val="1"/>
      <w:numFmt w:val="lowerLetter"/>
      <w:lvlText w:val="%5."/>
      <w:lvlJc w:val="left"/>
      <w:pPr>
        <w:tabs>
          <w:tab w:val="num" w:pos="3600"/>
        </w:tabs>
        <w:ind w:left="3600" w:hanging="360"/>
      </w:pPr>
    </w:lvl>
    <w:lvl w:ilvl="5" w:tplc="0807001B" w:tentative="1">
      <w:start w:val="1"/>
      <w:numFmt w:val="lowerRoman"/>
      <w:lvlText w:val="%6."/>
      <w:lvlJc w:val="right"/>
      <w:pPr>
        <w:tabs>
          <w:tab w:val="num" w:pos="4320"/>
        </w:tabs>
        <w:ind w:left="4320" w:hanging="180"/>
      </w:pPr>
    </w:lvl>
    <w:lvl w:ilvl="6" w:tplc="0807000F" w:tentative="1">
      <w:start w:val="1"/>
      <w:numFmt w:val="decimal"/>
      <w:lvlText w:val="%7."/>
      <w:lvlJc w:val="left"/>
      <w:pPr>
        <w:tabs>
          <w:tab w:val="num" w:pos="5040"/>
        </w:tabs>
        <w:ind w:left="5040" w:hanging="360"/>
      </w:pPr>
    </w:lvl>
    <w:lvl w:ilvl="7" w:tplc="08070019" w:tentative="1">
      <w:start w:val="1"/>
      <w:numFmt w:val="lowerLetter"/>
      <w:lvlText w:val="%8."/>
      <w:lvlJc w:val="left"/>
      <w:pPr>
        <w:tabs>
          <w:tab w:val="num" w:pos="5760"/>
        </w:tabs>
        <w:ind w:left="5760" w:hanging="360"/>
      </w:pPr>
    </w:lvl>
    <w:lvl w:ilvl="8" w:tplc="0807001B" w:tentative="1">
      <w:start w:val="1"/>
      <w:numFmt w:val="lowerRoman"/>
      <w:lvlText w:val="%9."/>
      <w:lvlJc w:val="right"/>
      <w:pPr>
        <w:tabs>
          <w:tab w:val="num" w:pos="6480"/>
        </w:tabs>
        <w:ind w:left="6480" w:hanging="180"/>
      </w:pPr>
    </w:lvl>
  </w:abstractNum>
  <w:abstractNum w:abstractNumId="16" w15:restartNumberingAfterBreak="0">
    <w:nsid w:val="2A250150"/>
    <w:multiLevelType w:val="hybridMultilevel"/>
    <w:tmpl w:val="78B6812A"/>
    <w:lvl w:ilvl="0" w:tplc="0E5C1B84">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A874364"/>
    <w:multiLevelType w:val="hybridMultilevel"/>
    <w:tmpl w:val="06D80E0E"/>
    <w:lvl w:ilvl="0" w:tplc="EC18E1F6">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2D0B39FF"/>
    <w:multiLevelType w:val="hybridMultilevel"/>
    <w:tmpl w:val="53C63E54"/>
    <w:lvl w:ilvl="0" w:tplc="0EF880BC">
      <w:numFmt w:val="bullet"/>
      <w:lvlText w:val="-"/>
      <w:lvlJc w:val="left"/>
      <w:pPr>
        <w:ind w:left="720" w:hanging="360"/>
      </w:pPr>
      <w:rPr>
        <w:rFonts w:ascii="Calibri" w:eastAsia="Times New Roman" w:hAnsi="Calibri" w:cs="Times New Roman" w:hint="default"/>
      </w:rPr>
    </w:lvl>
    <w:lvl w:ilvl="1" w:tplc="08070003">
      <w:start w:val="1"/>
      <w:numFmt w:val="bullet"/>
      <w:lvlText w:val="o"/>
      <w:lvlJc w:val="left"/>
      <w:pPr>
        <w:ind w:left="1440" w:hanging="360"/>
      </w:pPr>
      <w:rPr>
        <w:rFonts w:ascii="Courier New" w:hAnsi="Courier New" w:cs="Times New Roman"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Times New Roman"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Times New Roman" w:hint="default"/>
      </w:rPr>
    </w:lvl>
    <w:lvl w:ilvl="8" w:tplc="08070005">
      <w:start w:val="1"/>
      <w:numFmt w:val="bullet"/>
      <w:lvlText w:val=""/>
      <w:lvlJc w:val="left"/>
      <w:pPr>
        <w:ind w:left="6480" w:hanging="360"/>
      </w:pPr>
      <w:rPr>
        <w:rFonts w:ascii="Wingdings" w:hAnsi="Wingdings" w:hint="default"/>
      </w:rPr>
    </w:lvl>
  </w:abstractNum>
  <w:abstractNum w:abstractNumId="19" w15:restartNumberingAfterBreak="0">
    <w:nsid w:val="31067A5C"/>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59087A"/>
    <w:multiLevelType w:val="hybridMultilevel"/>
    <w:tmpl w:val="A19A1E22"/>
    <w:lvl w:ilvl="0" w:tplc="08070017">
      <w:start w:val="1"/>
      <w:numFmt w:val="lowerLetter"/>
      <w:lvlText w:val="%1)"/>
      <w:lvlJc w:val="left"/>
      <w:pPr>
        <w:ind w:left="1128" w:hanging="360"/>
      </w:pPr>
      <w:rPr>
        <w:sz w:val="20"/>
      </w:rPr>
    </w:lvl>
    <w:lvl w:ilvl="1" w:tplc="08070003">
      <w:start w:val="1"/>
      <w:numFmt w:val="bullet"/>
      <w:lvlText w:val="o"/>
      <w:lvlJc w:val="left"/>
      <w:pPr>
        <w:ind w:left="1848" w:hanging="360"/>
      </w:pPr>
      <w:rPr>
        <w:rFonts w:ascii="Courier New" w:hAnsi="Courier New" w:cs="Courier New" w:hint="default"/>
      </w:rPr>
    </w:lvl>
    <w:lvl w:ilvl="2" w:tplc="08070005">
      <w:start w:val="1"/>
      <w:numFmt w:val="bullet"/>
      <w:lvlText w:val=""/>
      <w:lvlJc w:val="left"/>
      <w:pPr>
        <w:ind w:left="2568" w:hanging="360"/>
      </w:pPr>
      <w:rPr>
        <w:rFonts w:ascii="Wingdings" w:hAnsi="Wingdings" w:hint="default"/>
      </w:rPr>
    </w:lvl>
    <w:lvl w:ilvl="3" w:tplc="08070001">
      <w:start w:val="1"/>
      <w:numFmt w:val="bullet"/>
      <w:lvlText w:val=""/>
      <w:lvlJc w:val="left"/>
      <w:pPr>
        <w:ind w:left="3288" w:hanging="360"/>
      </w:pPr>
      <w:rPr>
        <w:rFonts w:ascii="Symbol" w:hAnsi="Symbol" w:hint="default"/>
      </w:rPr>
    </w:lvl>
    <w:lvl w:ilvl="4" w:tplc="08070003">
      <w:start w:val="1"/>
      <w:numFmt w:val="bullet"/>
      <w:lvlText w:val="o"/>
      <w:lvlJc w:val="left"/>
      <w:pPr>
        <w:ind w:left="4008" w:hanging="360"/>
      </w:pPr>
      <w:rPr>
        <w:rFonts w:ascii="Courier New" w:hAnsi="Courier New" w:cs="Courier New" w:hint="default"/>
      </w:rPr>
    </w:lvl>
    <w:lvl w:ilvl="5" w:tplc="08070005">
      <w:start w:val="1"/>
      <w:numFmt w:val="bullet"/>
      <w:lvlText w:val=""/>
      <w:lvlJc w:val="left"/>
      <w:pPr>
        <w:ind w:left="4728" w:hanging="360"/>
      </w:pPr>
      <w:rPr>
        <w:rFonts w:ascii="Wingdings" w:hAnsi="Wingdings" w:hint="default"/>
      </w:rPr>
    </w:lvl>
    <w:lvl w:ilvl="6" w:tplc="08070001">
      <w:start w:val="1"/>
      <w:numFmt w:val="bullet"/>
      <w:lvlText w:val=""/>
      <w:lvlJc w:val="left"/>
      <w:pPr>
        <w:ind w:left="5448" w:hanging="360"/>
      </w:pPr>
      <w:rPr>
        <w:rFonts w:ascii="Symbol" w:hAnsi="Symbol" w:hint="default"/>
      </w:rPr>
    </w:lvl>
    <w:lvl w:ilvl="7" w:tplc="08070003">
      <w:start w:val="1"/>
      <w:numFmt w:val="bullet"/>
      <w:lvlText w:val="o"/>
      <w:lvlJc w:val="left"/>
      <w:pPr>
        <w:ind w:left="6168" w:hanging="360"/>
      </w:pPr>
      <w:rPr>
        <w:rFonts w:ascii="Courier New" w:hAnsi="Courier New" w:cs="Courier New" w:hint="default"/>
      </w:rPr>
    </w:lvl>
    <w:lvl w:ilvl="8" w:tplc="08070005">
      <w:start w:val="1"/>
      <w:numFmt w:val="bullet"/>
      <w:lvlText w:val=""/>
      <w:lvlJc w:val="left"/>
      <w:pPr>
        <w:ind w:left="6888" w:hanging="360"/>
      </w:pPr>
      <w:rPr>
        <w:rFonts w:ascii="Wingdings" w:hAnsi="Wingdings" w:hint="default"/>
      </w:rPr>
    </w:lvl>
  </w:abstractNum>
  <w:abstractNum w:abstractNumId="21" w15:restartNumberingAfterBreak="0">
    <w:nsid w:val="38914CDA"/>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EB1FCF"/>
    <w:multiLevelType w:val="hybridMultilevel"/>
    <w:tmpl w:val="4ACE12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4793164C"/>
    <w:multiLevelType w:val="hybridMultilevel"/>
    <w:tmpl w:val="D7DCB4A2"/>
    <w:lvl w:ilvl="0" w:tplc="08070001">
      <w:start w:val="1"/>
      <w:numFmt w:val="bullet"/>
      <w:lvlText w:val=""/>
      <w:lvlJc w:val="left"/>
      <w:pPr>
        <w:ind w:left="720" w:hanging="360"/>
      </w:pPr>
      <w:rPr>
        <w:rFonts w:ascii="Symbol" w:hAnsi="Symbol" w:hint="default"/>
      </w:rPr>
    </w:lvl>
    <w:lvl w:ilvl="1" w:tplc="18D60926">
      <w:numFmt w:val="bullet"/>
      <w:lvlText w:val="-"/>
      <w:lvlJc w:val="left"/>
      <w:pPr>
        <w:ind w:left="1440" w:hanging="360"/>
      </w:pPr>
      <w:rPr>
        <w:rFonts w:ascii="Arial" w:eastAsia="Times New Roman" w:hAnsi="Arial"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4C040844"/>
    <w:multiLevelType w:val="hybridMultilevel"/>
    <w:tmpl w:val="99BA161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D481615"/>
    <w:multiLevelType w:val="hybridMultilevel"/>
    <w:tmpl w:val="A28C58C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D824C76"/>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E321D21"/>
    <w:multiLevelType w:val="hybridMultilevel"/>
    <w:tmpl w:val="347A93C4"/>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4F3D2C21"/>
    <w:multiLevelType w:val="hybridMultilevel"/>
    <w:tmpl w:val="65AAA334"/>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55CD5B90"/>
    <w:multiLevelType w:val="hybridMultilevel"/>
    <w:tmpl w:val="8F76332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0" w15:restartNumberingAfterBreak="0">
    <w:nsid w:val="5E93065C"/>
    <w:multiLevelType w:val="hybridMultilevel"/>
    <w:tmpl w:val="543CF0C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2A22D8A2">
      <w:numFmt w:val="bullet"/>
      <w:lvlText w:val="-"/>
      <w:lvlJc w:val="left"/>
      <w:pPr>
        <w:ind w:left="2880" w:hanging="360"/>
      </w:pPr>
      <w:rPr>
        <w:rFonts w:ascii="Arial" w:eastAsia="Cambria" w:hAnsi="Arial" w:cs="Aria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61C33676"/>
    <w:multiLevelType w:val="hybridMultilevel"/>
    <w:tmpl w:val="F83015A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64270235"/>
    <w:multiLevelType w:val="hybridMultilevel"/>
    <w:tmpl w:val="BC8AA58E"/>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674E5690"/>
    <w:multiLevelType w:val="hybridMultilevel"/>
    <w:tmpl w:val="5148C732"/>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4" w15:restartNumberingAfterBreak="0">
    <w:nsid w:val="69A951D9"/>
    <w:multiLevelType w:val="hybridMultilevel"/>
    <w:tmpl w:val="7088B1D0"/>
    <w:lvl w:ilvl="0" w:tplc="08070017">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5" w15:restartNumberingAfterBreak="0">
    <w:nsid w:val="6AD07E7A"/>
    <w:multiLevelType w:val="hybridMultilevel"/>
    <w:tmpl w:val="C216512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6" w15:restartNumberingAfterBreak="0">
    <w:nsid w:val="785827ED"/>
    <w:multiLevelType w:val="singleLevel"/>
    <w:tmpl w:val="8ADC7C5A"/>
    <w:lvl w:ilvl="0">
      <w:start w:val="1"/>
      <w:numFmt w:val="upperRoman"/>
      <w:pStyle w:val="berschrift5"/>
      <w:lvlText w:val="%1."/>
      <w:lvlJc w:val="left"/>
      <w:pPr>
        <w:tabs>
          <w:tab w:val="num" w:pos="720"/>
        </w:tabs>
        <w:ind w:left="720" w:hanging="720"/>
      </w:pPr>
      <w:rPr>
        <w:rFonts w:hint="default"/>
      </w:rPr>
    </w:lvl>
  </w:abstractNum>
  <w:abstractNum w:abstractNumId="37" w15:restartNumberingAfterBreak="0">
    <w:nsid w:val="7A3400AB"/>
    <w:multiLevelType w:val="hybridMultilevel"/>
    <w:tmpl w:val="3900FF74"/>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97618252">
    <w:abstractNumId w:val="36"/>
  </w:num>
  <w:num w:numId="2" w16cid:durableId="807018878">
    <w:abstractNumId w:val="15"/>
  </w:num>
  <w:num w:numId="3" w16cid:durableId="951285928">
    <w:abstractNumId w:val="0"/>
  </w:num>
  <w:num w:numId="4" w16cid:durableId="848326032">
    <w:abstractNumId w:val="12"/>
  </w:num>
  <w:num w:numId="5" w16cid:durableId="962611009">
    <w:abstractNumId w:val="8"/>
  </w:num>
  <w:num w:numId="6" w16cid:durableId="570434310">
    <w:abstractNumId w:val="25"/>
  </w:num>
  <w:num w:numId="7" w16cid:durableId="500655795">
    <w:abstractNumId w:val="3"/>
  </w:num>
  <w:num w:numId="8" w16cid:durableId="730663815">
    <w:abstractNumId w:val="10"/>
  </w:num>
  <w:num w:numId="9" w16cid:durableId="593057787">
    <w:abstractNumId w:val="16"/>
  </w:num>
  <w:num w:numId="10" w16cid:durableId="1244099577">
    <w:abstractNumId w:val="31"/>
  </w:num>
  <w:num w:numId="11" w16cid:durableId="801776727">
    <w:abstractNumId w:val="9"/>
  </w:num>
  <w:num w:numId="12" w16cid:durableId="675232445">
    <w:abstractNumId w:val="26"/>
  </w:num>
  <w:num w:numId="13" w16cid:durableId="1964145041">
    <w:abstractNumId w:val="23"/>
  </w:num>
  <w:num w:numId="14" w16cid:durableId="1815640096">
    <w:abstractNumId w:val="35"/>
  </w:num>
  <w:num w:numId="15" w16cid:durableId="1299337748">
    <w:abstractNumId w:val="13"/>
  </w:num>
  <w:num w:numId="16" w16cid:durableId="1640645509">
    <w:abstractNumId w:val="24"/>
  </w:num>
  <w:num w:numId="17" w16cid:durableId="180170959">
    <w:abstractNumId w:val="37"/>
  </w:num>
  <w:num w:numId="18" w16cid:durableId="2006081871">
    <w:abstractNumId w:val="11"/>
  </w:num>
  <w:num w:numId="19" w16cid:durableId="578906533">
    <w:abstractNumId w:val="28"/>
  </w:num>
  <w:num w:numId="20" w16cid:durableId="123935992">
    <w:abstractNumId w:val="2"/>
  </w:num>
  <w:num w:numId="21" w16cid:durableId="270011661">
    <w:abstractNumId w:val="20"/>
    <w:lvlOverride w:ilvl="0">
      <w:startOverride w:val="1"/>
    </w:lvlOverride>
    <w:lvlOverride w:ilvl="1"/>
    <w:lvlOverride w:ilvl="2"/>
    <w:lvlOverride w:ilvl="3"/>
    <w:lvlOverride w:ilvl="4"/>
    <w:lvlOverride w:ilvl="5"/>
    <w:lvlOverride w:ilvl="6"/>
    <w:lvlOverride w:ilvl="7"/>
    <w:lvlOverride w:ilvl="8"/>
  </w:num>
  <w:num w:numId="22" w16cid:durableId="96216152">
    <w:abstractNumId w:val="2"/>
  </w:num>
  <w:num w:numId="23" w16cid:durableId="195897511">
    <w:abstractNumId w:val="20"/>
  </w:num>
  <w:num w:numId="24" w16cid:durableId="1952203613">
    <w:abstractNumId w:val="32"/>
  </w:num>
  <w:num w:numId="25" w16cid:durableId="1394232782">
    <w:abstractNumId w:val="22"/>
  </w:num>
  <w:num w:numId="26" w16cid:durableId="177236952">
    <w:abstractNumId w:val="6"/>
  </w:num>
  <w:num w:numId="27" w16cid:durableId="1412776926">
    <w:abstractNumId w:val="1"/>
  </w:num>
  <w:num w:numId="28" w16cid:durableId="1634671323">
    <w:abstractNumId w:val="27"/>
  </w:num>
  <w:num w:numId="29" w16cid:durableId="306396897">
    <w:abstractNumId w:val="17"/>
  </w:num>
  <w:num w:numId="30" w16cid:durableId="1223982322">
    <w:abstractNumId w:val="34"/>
  </w:num>
  <w:num w:numId="31" w16cid:durableId="1483934702">
    <w:abstractNumId w:val="14"/>
  </w:num>
  <w:num w:numId="32" w16cid:durableId="1104880172">
    <w:abstractNumId w:val="33"/>
  </w:num>
  <w:num w:numId="33" w16cid:durableId="636447643">
    <w:abstractNumId w:val="29"/>
  </w:num>
  <w:num w:numId="34" w16cid:durableId="735127444">
    <w:abstractNumId w:val="19"/>
  </w:num>
  <w:num w:numId="35" w16cid:durableId="1426540464">
    <w:abstractNumId w:val="21"/>
  </w:num>
  <w:num w:numId="36" w16cid:durableId="960841018">
    <w:abstractNumId w:val="4"/>
  </w:num>
  <w:num w:numId="37" w16cid:durableId="1899586716">
    <w:abstractNumId w:val="5"/>
  </w:num>
  <w:num w:numId="38" w16cid:durableId="1666665035">
    <w:abstractNumId w:val="18"/>
  </w:num>
  <w:num w:numId="39" w16cid:durableId="2071148050">
    <w:abstractNumId w:val="37"/>
  </w:num>
  <w:num w:numId="40" w16cid:durableId="178862150">
    <w:abstractNumId w:val="7"/>
  </w:num>
  <w:num w:numId="41" w16cid:durableId="445660898">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CH" w:vendorID="9" w:dllVersion="51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397"/>
  <w:doNotHyphenateCaps/>
  <w:noPunctuationKerning/>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D0"/>
    <w:rsid w:val="00002F69"/>
    <w:rsid w:val="00004C8E"/>
    <w:rsid w:val="0000619E"/>
    <w:rsid w:val="000067B5"/>
    <w:rsid w:val="00006FB6"/>
    <w:rsid w:val="00014AAF"/>
    <w:rsid w:val="00015619"/>
    <w:rsid w:val="00017946"/>
    <w:rsid w:val="00020CD7"/>
    <w:rsid w:val="00021309"/>
    <w:rsid w:val="00022BDB"/>
    <w:rsid w:val="000305E7"/>
    <w:rsid w:val="0003063F"/>
    <w:rsid w:val="000313DE"/>
    <w:rsid w:val="00032FE9"/>
    <w:rsid w:val="000362E2"/>
    <w:rsid w:val="00036BD5"/>
    <w:rsid w:val="00041D7C"/>
    <w:rsid w:val="000423DC"/>
    <w:rsid w:val="0004542C"/>
    <w:rsid w:val="000464E3"/>
    <w:rsid w:val="00047F52"/>
    <w:rsid w:val="00051D0D"/>
    <w:rsid w:val="0005430B"/>
    <w:rsid w:val="00055C5A"/>
    <w:rsid w:val="00063CE6"/>
    <w:rsid w:val="00067398"/>
    <w:rsid w:val="00067515"/>
    <w:rsid w:val="00067854"/>
    <w:rsid w:val="000718F2"/>
    <w:rsid w:val="00072BE1"/>
    <w:rsid w:val="00073D5A"/>
    <w:rsid w:val="0007634B"/>
    <w:rsid w:val="00077E0C"/>
    <w:rsid w:val="0008336D"/>
    <w:rsid w:val="000846E4"/>
    <w:rsid w:val="000901C6"/>
    <w:rsid w:val="000901CB"/>
    <w:rsid w:val="00093B3E"/>
    <w:rsid w:val="00093EEC"/>
    <w:rsid w:val="00094143"/>
    <w:rsid w:val="00096979"/>
    <w:rsid w:val="0009766E"/>
    <w:rsid w:val="000A19CE"/>
    <w:rsid w:val="000A1CA7"/>
    <w:rsid w:val="000A1EB8"/>
    <w:rsid w:val="000A72EA"/>
    <w:rsid w:val="000B020D"/>
    <w:rsid w:val="000B0FF6"/>
    <w:rsid w:val="000B17A8"/>
    <w:rsid w:val="000B1ED2"/>
    <w:rsid w:val="000B20E4"/>
    <w:rsid w:val="000B2909"/>
    <w:rsid w:val="000B56AB"/>
    <w:rsid w:val="000B69F6"/>
    <w:rsid w:val="000B7DF6"/>
    <w:rsid w:val="000C27E2"/>
    <w:rsid w:val="000C3F1F"/>
    <w:rsid w:val="000C6993"/>
    <w:rsid w:val="000C756C"/>
    <w:rsid w:val="000D081B"/>
    <w:rsid w:val="000D168F"/>
    <w:rsid w:val="000D22E2"/>
    <w:rsid w:val="000D36E0"/>
    <w:rsid w:val="000D47B7"/>
    <w:rsid w:val="000E0B73"/>
    <w:rsid w:val="000E105F"/>
    <w:rsid w:val="000E5A8C"/>
    <w:rsid w:val="000F209C"/>
    <w:rsid w:val="000F657D"/>
    <w:rsid w:val="000F7AF4"/>
    <w:rsid w:val="00103265"/>
    <w:rsid w:val="00105180"/>
    <w:rsid w:val="00105562"/>
    <w:rsid w:val="00115C45"/>
    <w:rsid w:val="001178DE"/>
    <w:rsid w:val="00121C6C"/>
    <w:rsid w:val="001241BE"/>
    <w:rsid w:val="001256E3"/>
    <w:rsid w:val="001264D7"/>
    <w:rsid w:val="00127590"/>
    <w:rsid w:val="00127F95"/>
    <w:rsid w:val="0013025F"/>
    <w:rsid w:val="00130556"/>
    <w:rsid w:val="00132670"/>
    <w:rsid w:val="00141F6A"/>
    <w:rsid w:val="00142DBB"/>
    <w:rsid w:val="00143C60"/>
    <w:rsid w:val="001469E9"/>
    <w:rsid w:val="00146C37"/>
    <w:rsid w:val="0015284E"/>
    <w:rsid w:val="00152F81"/>
    <w:rsid w:val="001605C4"/>
    <w:rsid w:val="001629CE"/>
    <w:rsid w:val="00167878"/>
    <w:rsid w:val="0017052F"/>
    <w:rsid w:val="001719F0"/>
    <w:rsid w:val="00174C08"/>
    <w:rsid w:val="0018175F"/>
    <w:rsid w:val="00184118"/>
    <w:rsid w:val="00184216"/>
    <w:rsid w:val="001842F3"/>
    <w:rsid w:val="0018457D"/>
    <w:rsid w:val="00184A77"/>
    <w:rsid w:val="00185D3C"/>
    <w:rsid w:val="00187764"/>
    <w:rsid w:val="00187840"/>
    <w:rsid w:val="00193A84"/>
    <w:rsid w:val="00194553"/>
    <w:rsid w:val="0019582D"/>
    <w:rsid w:val="001A1A8F"/>
    <w:rsid w:val="001A4932"/>
    <w:rsid w:val="001A52CF"/>
    <w:rsid w:val="001B0DAE"/>
    <w:rsid w:val="001B2B32"/>
    <w:rsid w:val="001B7BDD"/>
    <w:rsid w:val="001C1823"/>
    <w:rsid w:val="001C1B65"/>
    <w:rsid w:val="001C5CA5"/>
    <w:rsid w:val="001C63B8"/>
    <w:rsid w:val="001C6D25"/>
    <w:rsid w:val="001C78E5"/>
    <w:rsid w:val="001D03E4"/>
    <w:rsid w:val="001D1DF0"/>
    <w:rsid w:val="001D3A55"/>
    <w:rsid w:val="001D61FF"/>
    <w:rsid w:val="001E12FA"/>
    <w:rsid w:val="001E314C"/>
    <w:rsid w:val="001E3453"/>
    <w:rsid w:val="001E6C4C"/>
    <w:rsid w:val="001E7F2D"/>
    <w:rsid w:val="001F0A40"/>
    <w:rsid w:val="001F1858"/>
    <w:rsid w:val="001F4100"/>
    <w:rsid w:val="001F4387"/>
    <w:rsid w:val="00202D33"/>
    <w:rsid w:val="00205653"/>
    <w:rsid w:val="00205681"/>
    <w:rsid w:val="002113BC"/>
    <w:rsid w:val="00211F36"/>
    <w:rsid w:val="002126B4"/>
    <w:rsid w:val="0021306E"/>
    <w:rsid w:val="00222C2B"/>
    <w:rsid w:val="00224FF0"/>
    <w:rsid w:val="00227ADB"/>
    <w:rsid w:val="00227CEA"/>
    <w:rsid w:val="00227F3E"/>
    <w:rsid w:val="002309A6"/>
    <w:rsid w:val="00230FA1"/>
    <w:rsid w:val="0023252E"/>
    <w:rsid w:val="00232727"/>
    <w:rsid w:val="002331D2"/>
    <w:rsid w:val="002342A7"/>
    <w:rsid w:val="002353A1"/>
    <w:rsid w:val="00241213"/>
    <w:rsid w:val="00243628"/>
    <w:rsid w:val="00243B63"/>
    <w:rsid w:val="00246376"/>
    <w:rsid w:val="00246F1E"/>
    <w:rsid w:val="0025081F"/>
    <w:rsid w:val="002517F4"/>
    <w:rsid w:val="00253A01"/>
    <w:rsid w:val="00254B93"/>
    <w:rsid w:val="00255E86"/>
    <w:rsid w:val="002561FD"/>
    <w:rsid w:val="0026076E"/>
    <w:rsid w:val="00260AC7"/>
    <w:rsid w:val="0026350F"/>
    <w:rsid w:val="0026683E"/>
    <w:rsid w:val="00266CC3"/>
    <w:rsid w:val="00270A10"/>
    <w:rsid w:val="00271FDA"/>
    <w:rsid w:val="00274045"/>
    <w:rsid w:val="002746A3"/>
    <w:rsid w:val="00282891"/>
    <w:rsid w:val="00282AF0"/>
    <w:rsid w:val="0028359C"/>
    <w:rsid w:val="002848D4"/>
    <w:rsid w:val="002853EC"/>
    <w:rsid w:val="0028626E"/>
    <w:rsid w:val="00287C4E"/>
    <w:rsid w:val="00287F87"/>
    <w:rsid w:val="00290E54"/>
    <w:rsid w:val="0029354E"/>
    <w:rsid w:val="00295664"/>
    <w:rsid w:val="00296DCC"/>
    <w:rsid w:val="002A0999"/>
    <w:rsid w:val="002A45EA"/>
    <w:rsid w:val="002A4B24"/>
    <w:rsid w:val="002A5B2C"/>
    <w:rsid w:val="002A5D21"/>
    <w:rsid w:val="002A5EB7"/>
    <w:rsid w:val="002B4F0D"/>
    <w:rsid w:val="002B7F63"/>
    <w:rsid w:val="002C17F7"/>
    <w:rsid w:val="002C33A9"/>
    <w:rsid w:val="002C623F"/>
    <w:rsid w:val="002D19EC"/>
    <w:rsid w:val="002D25B5"/>
    <w:rsid w:val="002D2B27"/>
    <w:rsid w:val="002D2DB7"/>
    <w:rsid w:val="002D31A9"/>
    <w:rsid w:val="002D3DED"/>
    <w:rsid w:val="002D4D4E"/>
    <w:rsid w:val="002E231D"/>
    <w:rsid w:val="002E2E45"/>
    <w:rsid w:val="002E3094"/>
    <w:rsid w:val="002E4301"/>
    <w:rsid w:val="002E51D3"/>
    <w:rsid w:val="002E5C20"/>
    <w:rsid w:val="002F19E4"/>
    <w:rsid w:val="002F2B78"/>
    <w:rsid w:val="002F34D6"/>
    <w:rsid w:val="002F3C44"/>
    <w:rsid w:val="002F5A80"/>
    <w:rsid w:val="00301F5D"/>
    <w:rsid w:val="0030307F"/>
    <w:rsid w:val="0030349B"/>
    <w:rsid w:val="00306BC7"/>
    <w:rsid w:val="00310057"/>
    <w:rsid w:val="00311129"/>
    <w:rsid w:val="00311F8A"/>
    <w:rsid w:val="00313969"/>
    <w:rsid w:val="003221ED"/>
    <w:rsid w:val="0032230B"/>
    <w:rsid w:val="00325C5D"/>
    <w:rsid w:val="00325DD5"/>
    <w:rsid w:val="003269A8"/>
    <w:rsid w:val="00326E88"/>
    <w:rsid w:val="00330C00"/>
    <w:rsid w:val="003322B0"/>
    <w:rsid w:val="003351F3"/>
    <w:rsid w:val="003406CC"/>
    <w:rsid w:val="00340842"/>
    <w:rsid w:val="0034112A"/>
    <w:rsid w:val="003422EB"/>
    <w:rsid w:val="00346F70"/>
    <w:rsid w:val="003470D4"/>
    <w:rsid w:val="003479B9"/>
    <w:rsid w:val="00354E9D"/>
    <w:rsid w:val="003572A5"/>
    <w:rsid w:val="00363410"/>
    <w:rsid w:val="003639B0"/>
    <w:rsid w:val="00363B72"/>
    <w:rsid w:val="00364046"/>
    <w:rsid w:val="00365BF1"/>
    <w:rsid w:val="00365C54"/>
    <w:rsid w:val="00365E5A"/>
    <w:rsid w:val="0036650A"/>
    <w:rsid w:val="003731AA"/>
    <w:rsid w:val="00373A27"/>
    <w:rsid w:val="00373E08"/>
    <w:rsid w:val="00374575"/>
    <w:rsid w:val="003751BE"/>
    <w:rsid w:val="00377A0B"/>
    <w:rsid w:val="00380AE2"/>
    <w:rsid w:val="00381E36"/>
    <w:rsid w:val="00382558"/>
    <w:rsid w:val="00383FDD"/>
    <w:rsid w:val="00385EF7"/>
    <w:rsid w:val="003869D8"/>
    <w:rsid w:val="00387000"/>
    <w:rsid w:val="003907BE"/>
    <w:rsid w:val="00390FA7"/>
    <w:rsid w:val="00393093"/>
    <w:rsid w:val="00394320"/>
    <w:rsid w:val="00395180"/>
    <w:rsid w:val="003971BD"/>
    <w:rsid w:val="003A2A77"/>
    <w:rsid w:val="003A4F00"/>
    <w:rsid w:val="003A65D2"/>
    <w:rsid w:val="003A6985"/>
    <w:rsid w:val="003A7208"/>
    <w:rsid w:val="003B178D"/>
    <w:rsid w:val="003B19A8"/>
    <w:rsid w:val="003B2824"/>
    <w:rsid w:val="003B3C1E"/>
    <w:rsid w:val="003B4E60"/>
    <w:rsid w:val="003B59C0"/>
    <w:rsid w:val="003B5EE4"/>
    <w:rsid w:val="003C4C59"/>
    <w:rsid w:val="003C5E3F"/>
    <w:rsid w:val="003D18A4"/>
    <w:rsid w:val="003D2C33"/>
    <w:rsid w:val="003D3ED8"/>
    <w:rsid w:val="003D4AD9"/>
    <w:rsid w:val="003D5EBA"/>
    <w:rsid w:val="003D6150"/>
    <w:rsid w:val="003D6237"/>
    <w:rsid w:val="003E1475"/>
    <w:rsid w:val="003E149D"/>
    <w:rsid w:val="003E2995"/>
    <w:rsid w:val="003E47E1"/>
    <w:rsid w:val="003E60B1"/>
    <w:rsid w:val="003F0019"/>
    <w:rsid w:val="003F0204"/>
    <w:rsid w:val="003F2BF8"/>
    <w:rsid w:val="003F3A01"/>
    <w:rsid w:val="00401A5A"/>
    <w:rsid w:val="00403CDD"/>
    <w:rsid w:val="004040AC"/>
    <w:rsid w:val="00404436"/>
    <w:rsid w:val="00404617"/>
    <w:rsid w:val="00412B9E"/>
    <w:rsid w:val="00413A07"/>
    <w:rsid w:val="00414DC9"/>
    <w:rsid w:val="0041731C"/>
    <w:rsid w:val="00417B23"/>
    <w:rsid w:val="0042389D"/>
    <w:rsid w:val="00430427"/>
    <w:rsid w:val="00433F12"/>
    <w:rsid w:val="00435360"/>
    <w:rsid w:val="00436348"/>
    <w:rsid w:val="00447685"/>
    <w:rsid w:val="00455CC3"/>
    <w:rsid w:val="00457B88"/>
    <w:rsid w:val="004621DB"/>
    <w:rsid w:val="00463B20"/>
    <w:rsid w:val="0047220F"/>
    <w:rsid w:val="004725A1"/>
    <w:rsid w:val="004726B7"/>
    <w:rsid w:val="0047398B"/>
    <w:rsid w:val="00475319"/>
    <w:rsid w:val="004805B6"/>
    <w:rsid w:val="0048641E"/>
    <w:rsid w:val="0049142B"/>
    <w:rsid w:val="00491EA9"/>
    <w:rsid w:val="00494050"/>
    <w:rsid w:val="00494350"/>
    <w:rsid w:val="0049484D"/>
    <w:rsid w:val="00496C91"/>
    <w:rsid w:val="00497112"/>
    <w:rsid w:val="00497813"/>
    <w:rsid w:val="004A1D76"/>
    <w:rsid w:val="004A2464"/>
    <w:rsid w:val="004A405F"/>
    <w:rsid w:val="004A550A"/>
    <w:rsid w:val="004A6299"/>
    <w:rsid w:val="004A63C0"/>
    <w:rsid w:val="004B12AF"/>
    <w:rsid w:val="004B1814"/>
    <w:rsid w:val="004B3F53"/>
    <w:rsid w:val="004B6F11"/>
    <w:rsid w:val="004B7B6C"/>
    <w:rsid w:val="004C0037"/>
    <w:rsid w:val="004C0D20"/>
    <w:rsid w:val="004C0F59"/>
    <w:rsid w:val="004C2743"/>
    <w:rsid w:val="004C2F30"/>
    <w:rsid w:val="004C7DB3"/>
    <w:rsid w:val="004D4B39"/>
    <w:rsid w:val="004D5057"/>
    <w:rsid w:val="004D604F"/>
    <w:rsid w:val="004D61A7"/>
    <w:rsid w:val="004E120F"/>
    <w:rsid w:val="004E14E7"/>
    <w:rsid w:val="004E2370"/>
    <w:rsid w:val="004E334C"/>
    <w:rsid w:val="004E4AAF"/>
    <w:rsid w:val="004E6005"/>
    <w:rsid w:val="004F188A"/>
    <w:rsid w:val="004F1B33"/>
    <w:rsid w:val="004F4D49"/>
    <w:rsid w:val="004F6209"/>
    <w:rsid w:val="004F6D55"/>
    <w:rsid w:val="004F737B"/>
    <w:rsid w:val="004F7B49"/>
    <w:rsid w:val="00500CE2"/>
    <w:rsid w:val="00501ABA"/>
    <w:rsid w:val="005034FA"/>
    <w:rsid w:val="0050402B"/>
    <w:rsid w:val="00504433"/>
    <w:rsid w:val="0050689F"/>
    <w:rsid w:val="00511890"/>
    <w:rsid w:val="00513323"/>
    <w:rsid w:val="005147EB"/>
    <w:rsid w:val="00515064"/>
    <w:rsid w:val="00515AB5"/>
    <w:rsid w:val="0052155F"/>
    <w:rsid w:val="0052342D"/>
    <w:rsid w:val="00524607"/>
    <w:rsid w:val="005316F9"/>
    <w:rsid w:val="005317BD"/>
    <w:rsid w:val="005334AD"/>
    <w:rsid w:val="00535EE5"/>
    <w:rsid w:val="00542456"/>
    <w:rsid w:val="005434CA"/>
    <w:rsid w:val="00543DCA"/>
    <w:rsid w:val="00544DAD"/>
    <w:rsid w:val="00546003"/>
    <w:rsid w:val="005477F5"/>
    <w:rsid w:val="005538F9"/>
    <w:rsid w:val="00556DBB"/>
    <w:rsid w:val="005573E0"/>
    <w:rsid w:val="0056593A"/>
    <w:rsid w:val="00574D51"/>
    <w:rsid w:val="00576700"/>
    <w:rsid w:val="00581FB2"/>
    <w:rsid w:val="00582A28"/>
    <w:rsid w:val="005854EE"/>
    <w:rsid w:val="005905B2"/>
    <w:rsid w:val="00591165"/>
    <w:rsid w:val="005932E9"/>
    <w:rsid w:val="0059338D"/>
    <w:rsid w:val="005A2D8E"/>
    <w:rsid w:val="005A35B1"/>
    <w:rsid w:val="005A7873"/>
    <w:rsid w:val="005B2CD4"/>
    <w:rsid w:val="005B31AF"/>
    <w:rsid w:val="005B66F8"/>
    <w:rsid w:val="005B6C43"/>
    <w:rsid w:val="005B7426"/>
    <w:rsid w:val="005C18BB"/>
    <w:rsid w:val="005C5BF3"/>
    <w:rsid w:val="005C640B"/>
    <w:rsid w:val="005C724F"/>
    <w:rsid w:val="005D2CDC"/>
    <w:rsid w:val="005D4269"/>
    <w:rsid w:val="005D5049"/>
    <w:rsid w:val="005E18C5"/>
    <w:rsid w:val="005E281B"/>
    <w:rsid w:val="005E4EA3"/>
    <w:rsid w:val="005F3784"/>
    <w:rsid w:val="005F51BD"/>
    <w:rsid w:val="005F5358"/>
    <w:rsid w:val="005F59D5"/>
    <w:rsid w:val="005F6E6F"/>
    <w:rsid w:val="00602B18"/>
    <w:rsid w:val="00603B15"/>
    <w:rsid w:val="0060672A"/>
    <w:rsid w:val="00606745"/>
    <w:rsid w:val="006067FE"/>
    <w:rsid w:val="00606908"/>
    <w:rsid w:val="00610880"/>
    <w:rsid w:val="00611F2C"/>
    <w:rsid w:val="00615EA1"/>
    <w:rsid w:val="006179DA"/>
    <w:rsid w:val="00621D29"/>
    <w:rsid w:val="00624857"/>
    <w:rsid w:val="00625CFC"/>
    <w:rsid w:val="00630128"/>
    <w:rsid w:val="00630376"/>
    <w:rsid w:val="0063155B"/>
    <w:rsid w:val="00633761"/>
    <w:rsid w:val="00635064"/>
    <w:rsid w:val="00635FFA"/>
    <w:rsid w:val="00636495"/>
    <w:rsid w:val="00644F7F"/>
    <w:rsid w:val="006453CF"/>
    <w:rsid w:val="0064541F"/>
    <w:rsid w:val="0064613E"/>
    <w:rsid w:val="00646418"/>
    <w:rsid w:val="00652496"/>
    <w:rsid w:val="006534C8"/>
    <w:rsid w:val="006557D7"/>
    <w:rsid w:val="00655B83"/>
    <w:rsid w:val="00662268"/>
    <w:rsid w:val="006634A7"/>
    <w:rsid w:val="00665A4B"/>
    <w:rsid w:val="00666210"/>
    <w:rsid w:val="0066663A"/>
    <w:rsid w:val="00666855"/>
    <w:rsid w:val="0067062C"/>
    <w:rsid w:val="0067106F"/>
    <w:rsid w:val="00671DBD"/>
    <w:rsid w:val="006730AC"/>
    <w:rsid w:val="00674586"/>
    <w:rsid w:val="006749F0"/>
    <w:rsid w:val="0067573A"/>
    <w:rsid w:val="006819F9"/>
    <w:rsid w:val="00685D19"/>
    <w:rsid w:val="00694776"/>
    <w:rsid w:val="00694ABC"/>
    <w:rsid w:val="006A1C0D"/>
    <w:rsid w:val="006A2FE6"/>
    <w:rsid w:val="006A378B"/>
    <w:rsid w:val="006A6AAA"/>
    <w:rsid w:val="006A7683"/>
    <w:rsid w:val="006B34A7"/>
    <w:rsid w:val="006B42CC"/>
    <w:rsid w:val="006C2ABA"/>
    <w:rsid w:val="006C48BB"/>
    <w:rsid w:val="006C5798"/>
    <w:rsid w:val="006D174B"/>
    <w:rsid w:val="006D26BF"/>
    <w:rsid w:val="006D2F55"/>
    <w:rsid w:val="006D37A3"/>
    <w:rsid w:val="006D41E2"/>
    <w:rsid w:val="006D598B"/>
    <w:rsid w:val="006E1DCF"/>
    <w:rsid w:val="006E2847"/>
    <w:rsid w:val="006E3DFE"/>
    <w:rsid w:val="006E6503"/>
    <w:rsid w:val="006E6F89"/>
    <w:rsid w:val="006F1862"/>
    <w:rsid w:val="006F543F"/>
    <w:rsid w:val="006F7AB5"/>
    <w:rsid w:val="006F7CFC"/>
    <w:rsid w:val="0070270A"/>
    <w:rsid w:val="007029E2"/>
    <w:rsid w:val="00702D1A"/>
    <w:rsid w:val="00704952"/>
    <w:rsid w:val="00706801"/>
    <w:rsid w:val="00706985"/>
    <w:rsid w:val="00712239"/>
    <w:rsid w:val="0071465F"/>
    <w:rsid w:val="00714FC1"/>
    <w:rsid w:val="0071565C"/>
    <w:rsid w:val="00721507"/>
    <w:rsid w:val="007218CC"/>
    <w:rsid w:val="00725A25"/>
    <w:rsid w:val="00726A8A"/>
    <w:rsid w:val="00730181"/>
    <w:rsid w:val="00732BCF"/>
    <w:rsid w:val="0073680F"/>
    <w:rsid w:val="00736AED"/>
    <w:rsid w:val="00743771"/>
    <w:rsid w:val="0074539F"/>
    <w:rsid w:val="007458BE"/>
    <w:rsid w:val="00746BAD"/>
    <w:rsid w:val="00747A7A"/>
    <w:rsid w:val="00750A70"/>
    <w:rsid w:val="00751CF7"/>
    <w:rsid w:val="00752F45"/>
    <w:rsid w:val="007557A9"/>
    <w:rsid w:val="00756E3F"/>
    <w:rsid w:val="00757204"/>
    <w:rsid w:val="007645E1"/>
    <w:rsid w:val="00764E6A"/>
    <w:rsid w:val="00766184"/>
    <w:rsid w:val="0076760C"/>
    <w:rsid w:val="00767793"/>
    <w:rsid w:val="007749EF"/>
    <w:rsid w:val="00774C32"/>
    <w:rsid w:val="007755D2"/>
    <w:rsid w:val="007758D5"/>
    <w:rsid w:val="00776C82"/>
    <w:rsid w:val="00777F26"/>
    <w:rsid w:val="00781320"/>
    <w:rsid w:val="00784864"/>
    <w:rsid w:val="007868E9"/>
    <w:rsid w:val="007927FE"/>
    <w:rsid w:val="007935F6"/>
    <w:rsid w:val="007A2541"/>
    <w:rsid w:val="007A36D2"/>
    <w:rsid w:val="007A404C"/>
    <w:rsid w:val="007A7A35"/>
    <w:rsid w:val="007A7AC7"/>
    <w:rsid w:val="007B1593"/>
    <w:rsid w:val="007B4F7B"/>
    <w:rsid w:val="007C5580"/>
    <w:rsid w:val="007C5C6F"/>
    <w:rsid w:val="007C79C0"/>
    <w:rsid w:val="007D00DF"/>
    <w:rsid w:val="007D341F"/>
    <w:rsid w:val="007D4408"/>
    <w:rsid w:val="007D4A8D"/>
    <w:rsid w:val="007D4EE8"/>
    <w:rsid w:val="007D5D01"/>
    <w:rsid w:val="007D69AB"/>
    <w:rsid w:val="007E0400"/>
    <w:rsid w:val="007E12DD"/>
    <w:rsid w:val="007E5B82"/>
    <w:rsid w:val="007F0025"/>
    <w:rsid w:val="007F05E1"/>
    <w:rsid w:val="007F0BB7"/>
    <w:rsid w:val="007F30B0"/>
    <w:rsid w:val="007F3B8E"/>
    <w:rsid w:val="007F7AF5"/>
    <w:rsid w:val="008011F5"/>
    <w:rsid w:val="00801D7B"/>
    <w:rsid w:val="008049D5"/>
    <w:rsid w:val="00804EC6"/>
    <w:rsid w:val="00810FF6"/>
    <w:rsid w:val="00811A06"/>
    <w:rsid w:val="0081216B"/>
    <w:rsid w:val="00812236"/>
    <w:rsid w:val="0081601E"/>
    <w:rsid w:val="0081755F"/>
    <w:rsid w:val="00820F08"/>
    <w:rsid w:val="00823FD2"/>
    <w:rsid w:val="00825587"/>
    <w:rsid w:val="00827ACC"/>
    <w:rsid w:val="00827C26"/>
    <w:rsid w:val="008321CB"/>
    <w:rsid w:val="00833936"/>
    <w:rsid w:val="00836F15"/>
    <w:rsid w:val="00840200"/>
    <w:rsid w:val="0084034D"/>
    <w:rsid w:val="0084047C"/>
    <w:rsid w:val="008416D7"/>
    <w:rsid w:val="00842BBA"/>
    <w:rsid w:val="00845076"/>
    <w:rsid w:val="00847614"/>
    <w:rsid w:val="00847CDE"/>
    <w:rsid w:val="008504E5"/>
    <w:rsid w:val="00850AE4"/>
    <w:rsid w:val="00851E1B"/>
    <w:rsid w:val="008542D8"/>
    <w:rsid w:val="00854EE1"/>
    <w:rsid w:val="00855A4B"/>
    <w:rsid w:val="008612A6"/>
    <w:rsid w:val="00863C2F"/>
    <w:rsid w:val="0086456B"/>
    <w:rsid w:val="00866669"/>
    <w:rsid w:val="00871DDC"/>
    <w:rsid w:val="00873E4A"/>
    <w:rsid w:val="00875AF4"/>
    <w:rsid w:val="0087714B"/>
    <w:rsid w:val="00877A3E"/>
    <w:rsid w:val="0088030C"/>
    <w:rsid w:val="00880C53"/>
    <w:rsid w:val="00881418"/>
    <w:rsid w:val="00882D0A"/>
    <w:rsid w:val="00883BD5"/>
    <w:rsid w:val="00883DD1"/>
    <w:rsid w:val="00885CE4"/>
    <w:rsid w:val="008910E4"/>
    <w:rsid w:val="0089115F"/>
    <w:rsid w:val="008924FC"/>
    <w:rsid w:val="00892678"/>
    <w:rsid w:val="0089530E"/>
    <w:rsid w:val="00897485"/>
    <w:rsid w:val="00897AEF"/>
    <w:rsid w:val="008A12DA"/>
    <w:rsid w:val="008A315D"/>
    <w:rsid w:val="008A34FB"/>
    <w:rsid w:val="008A6229"/>
    <w:rsid w:val="008A7124"/>
    <w:rsid w:val="008B259C"/>
    <w:rsid w:val="008B49D7"/>
    <w:rsid w:val="008B4EB5"/>
    <w:rsid w:val="008B7253"/>
    <w:rsid w:val="008C272C"/>
    <w:rsid w:val="008C2C78"/>
    <w:rsid w:val="008C30D1"/>
    <w:rsid w:val="008C31A3"/>
    <w:rsid w:val="008C681B"/>
    <w:rsid w:val="008C6EEA"/>
    <w:rsid w:val="008C7535"/>
    <w:rsid w:val="008C7E05"/>
    <w:rsid w:val="008D3A68"/>
    <w:rsid w:val="008D629D"/>
    <w:rsid w:val="008E1F80"/>
    <w:rsid w:val="008E34B2"/>
    <w:rsid w:val="008F0B4F"/>
    <w:rsid w:val="008F0E6F"/>
    <w:rsid w:val="008F13CA"/>
    <w:rsid w:val="008F3152"/>
    <w:rsid w:val="008F5807"/>
    <w:rsid w:val="009043A1"/>
    <w:rsid w:val="00904518"/>
    <w:rsid w:val="009058C0"/>
    <w:rsid w:val="00906A18"/>
    <w:rsid w:val="00907A61"/>
    <w:rsid w:val="0091060D"/>
    <w:rsid w:val="00912083"/>
    <w:rsid w:val="00912129"/>
    <w:rsid w:val="00912574"/>
    <w:rsid w:val="00912C9A"/>
    <w:rsid w:val="00915735"/>
    <w:rsid w:val="00916455"/>
    <w:rsid w:val="00916839"/>
    <w:rsid w:val="00920F67"/>
    <w:rsid w:val="0092356D"/>
    <w:rsid w:val="00925B0B"/>
    <w:rsid w:val="00932B97"/>
    <w:rsid w:val="009362C9"/>
    <w:rsid w:val="00937E8A"/>
    <w:rsid w:val="00942351"/>
    <w:rsid w:val="00944FC6"/>
    <w:rsid w:val="00946366"/>
    <w:rsid w:val="009464E8"/>
    <w:rsid w:val="00946782"/>
    <w:rsid w:val="00952222"/>
    <w:rsid w:val="00953838"/>
    <w:rsid w:val="00953E7E"/>
    <w:rsid w:val="00953F3E"/>
    <w:rsid w:val="00954411"/>
    <w:rsid w:val="009548A0"/>
    <w:rsid w:val="0096002C"/>
    <w:rsid w:val="009606E7"/>
    <w:rsid w:val="009626F4"/>
    <w:rsid w:val="00964137"/>
    <w:rsid w:val="009672C1"/>
    <w:rsid w:val="0097118C"/>
    <w:rsid w:val="009713E0"/>
    <w:rsid w:val="0097312C"/>
    <w:rsid w:val="00974C33"/>
    <w:rsid w:val="0097764A"/>
    <w:rsid w:val="00981CC2"/>
    <w:rsid w:val="00984BC9"/>
    <w:rsid w:val="009870F1"/>
    <w:rsid w:val="009872F3"/>
    <w:rsid w:val="009906F0"/>
    <w:rsid w:val="00991FF3"/>
    <w:rsid w:val="00992EA8"/>
    <w:rsid w:val="009930B9"/>
    <w:rsid w:val="00993328"/>
    <w:rsid w:val="00995C4A"/>
    <w:rsid w:val="00996F3A"/>
    <w:rsid w:val="0099798B"/>
    <w:rsid w:val="009A130D"/>
    <w:rsid w:val="009A4D96"/>
    <w:rsid w:val="009A51C0"/>
    <w:rsid w:val="009A566E"/>
    <w:rsid w:val="009A6699"/>
    <w:rsid w:val="009B13E9"/>
    <w:rsid w:val="009B1647"/>
    <w:rsid w:val="009B1E49"/>
    <w:rsid w:val="009B4D8B"/>
    <w:rsid w:val="009B7A8A"/>
    <w:rsid w:val="009C1689"/>
    <w:rsid w:val="009C5BD3"/>
    <w:rsid w:val="009C6380"/>
    <w:rsid w:val="009C6F37"/>
    <w:rsid w:val="009D3D23"/>
    <w:rsid w:val="009D3D92"/>
    <w:rsid w:val="009D5E4B"/>
    <w:rsid w:val="009D726E"/>
    <w:rsid w:val="009E0285"/>
    <w:rsid w:val="009E0E42"/>
    <w:rsid w:val="009E273B"/>
    <w:rsid w:val="009E2AA2"/>
    <w:rsid w:val="009E4C10"/>
    <w:rsid w:val="009E4D18"/>
    <w:rsid w:val="009E4FE7"/>
    <w:rsid w:val="009E6900"/>
    <w:rsid w:val="009E6ED1"/>
    <w:rsid w:val="009F012B"/>
    <w:rsid w:val="009F06E5"/>
    <w:rsid w:val="009F1ACA"/>
    <w:rsid w:val="009F532F"/>
    <w:rsid w:val="009F540A"/>
    <w:rsid w:val="009F55E1"/>
    <w:rsid w:val="009F5F0F"/>
    <w:rsid w:val="009F7615"/>
    <w:rsid w:val="009F7D17"/>
    <w:rsid w:val="00A01D84"/>
    <w:rsid w:val="00A024A2"/>
    <w:rsid w:val="00A04645"/>
    <w:rsid w:val="00A04651"/>
    <w:rsid w:val="00A07723"/>
    <w:rsid w:val="00A129C8"/>
    <w:rsid w:val="00A12CCC"/>
    <w:rsid w:val="00A14FB3"/>
    <w:rsid w:val="00A1551D"/>
    <w:rsid w:val="00A17DB1"/>
    <w:rsid w:val="00A243A0"/>
    <w:rsid w:val="00A25387"/>
    <w:rsid w:val="00A269CD"/>
    <w:rsid w:val="00A30784"/>
    <w:rsid w:val="00A32220"/>
    <w:rsid w:val="00A32C3D"/>
    <w:rsid w:val="00A35EF9"/>
    <w:rsid w:val="00A411A1"/>
    <w:rsid w:val="00A419CE"/>
    <w:rsid w:val="00A4418B"/>
    <w:rsid w:val="00A44F5C"/>
    <w:rsid w:val="00A4767C"/>
    <w:rsid w:val="00A5103F"/>
    <w:rsid w:val="00A51132"/>
    <w:rsid w:val="00A53575"/>
    <w:rsid w:val="00A54C28"/>
    <w:rsid w:val="00A5682B"/>
    <w:rsid w:val="00A61FE7"/>
    <w:rsid w:val="00A63F7E"/>
    <w:rsid w:val="00A64B92"/>
    <w:rsid w:val="00A71A76"/>
    <w:rsid w:val="00A71CE3"/>
    <w:rsid w:val="00A72EFF"/>
    <w:rsid w:val="00A75EA7"/>
    <w:rsid w:val="00A76C6E"/>
    <w:rsid w:val="00A828FA"/>
    <w:rsid w:val="00A8306F"/>
    <w:rsid w:val="00A833FD"/>
    <w:rsid w:val="00A83D86"/>
    <w:rsid w:val="00A84BF6"/>
    <w:rsid w:val="00A8554C"/>
    <w:rsid w:val="00A864F9"/>
    <w:rsid w:val="00A90641"/>
    <w:rsid w:val="00A90D6D"/>
    <w:rsid w:val="00A91CB1"/>
    <w:rsid w:val="00A938AE"/>
    <w:rsid w:val="00A948B8"/>
    <w:rsid w:val="00A94D0A"/>
    <w:rsid w:val="00A969E3"/>
    <w:rsid w:val="00A97E03"/>
    <w:rsid w:val="00AA0965"/>
    <w:rsid w:val="00AA4693"/>
    <w:rsid w:val="00AA5C48"/>
    <w:rsid w:val="00AA63DD"/>
    <w:rsid w:val="00AA6E3C"/>
    <w:rsid w:val="00AB017B"/>
    <w:rsid w:val="00AB03CE"/>
    <w:rsid w:val="00AB05BA"/>
    <w:rsid w:val="00AB193D"/>
    <w:rsid w:val="00AB5375"/>
    <w:rsid w:val="00AB700D"/>
    <w:rsid w:val="00AB7758"/>
    <w:rsid w:val="00AC2FFF"/>
    <w:rsid w:val="00AC3F58"/>
    <w:rsid w:val="00AC7218"/>
    <w:rsid w:val="00AD0CA8"/>
    <w:rsid w:val="00AD2C02"/>
    <w:rsid w:val="00AD4EF5"/>
    <w:rsid w:val="00AD5016"/>
    <w:rsid w:val="00AD74E7"/>
    <w:rsid w:val="00AE0ABE"/>
    <w:rsid w:val="00AE0DE4"/>
    <w:rsid w:val="00AE134E"/>
    <w:rsid w:val="00AE1D73"/>
    <w:rsid w:val="00AE2DAF"/>
    <w:rsid w:val="00AE3CC8"/>
    <w:rsid w:val="00AF4BA0"/>
    <w:rsid w:val="00AF63C5"/>
    <w:rsid w:val="00AF676B"/>
    <w:rsid w:val="00AF6815"/>
    <w:rsid w:val="00AF6DD8"/>
    <w:rsid w:val="00AF7523"/>
    <w:rsid w:val="00AF7B84"/>
    <w:rsid w:val="00B016A4"/>
    <w:rsid w:val="00B01758"/>
    <w:rsid w:val="00B02EC3"/>
    <w:rsid w:val="00B03417"/>
    <w:rsid w:val="00B037A6"/>
    <w:rsid w:val="00B06C71"/>
    <w:rsid w:val="00B07D45"/>
    <w:rsid w:val="00B13D1E"/>
    <w:rsid w:val="00B17153"/>
    <w:rsid w:val="00B20A44"/>
    <w:rsid w:val="00B23701"/>
    <w:rsid w:val="00B33940"/>
    <w:rsid w:val="00B35D7D"/>
    <w:rsid w:val="00B41510"/>
    <w:rsid w:val="00B41C8D"/>
    <w:rsid w:val="00B4499A"/>
    <w:rsid w:val="00B4590B"/>
    <w:rsid w:val="00B4674D"/>
    <w:rsid w:val="00B50E47"/>
    <w:rsid w:val="00B52522"/>
    <w:rsid w:val="00B55575"/>
    <w:rsid w:val="00B5732E"/>
    <w:rsid w:val="00B607C0"/>
    <w:rsid w:val="00B62181"/>
    <w:rsid w:val="00B710A5"/>
    <w:rsid w:val="00B73B10"/>
    <w:rsid w:val="00B74615"/>
    <w:rsid w:val="00B768BD"/>
    <w:rsid w:val="00B80B23"/>
    <w:rsid w:val="00B8202D"/>
    <w:rsid w:val="00B868CC"/>
    <w:rsid w:val="00B90132"/>
    <w:rsid w:val="00B90830"/>
    <w:rsid w:val="00B91170"/>
    <w:rsid w:val="00B93CAB"/>
    <w:rsid w:val="00BA36A9"/>
    <w:rsid w:val="00BB2BBF"/>
    <w:rsid w:val="00BB4874"/>
    <w:rsid w:val="00BB6029"/>
    <w:rsid w:val="00BB6994"/>
    <w:rsid w:val="00BB7FA6"/>
    <w:rsid w:val="00BC19D0"/>
    <w:rsid w:val="00BC1DBA"/>
    <w:rsid w:val="00BC3C6E"/>
    <w:rsid w:val="00BC3FD5"/>
    <w:rsid w:val="00BC49B6"/>
    <w:rsid w:val="00BC66FA"/>
    <w:rsid w:val="00BD16C9"/>
    <w:rsid w:val="00BD4D9C"/>
    <w:rsid w:val="00BD64E2"/>
    <w:rsid w:val="00BE3A92"/>
    <w:rsid w:val="00BF2060"/>
    <w:rsid w:val="00BF2343"/>
    <w:rsid w:val="00BF3D88"/>
    <w:rsid w:val="00BF476D"/>
    <w:rsid w:val="00BF567C"/>
    <w:rsid w:val="00BF6946"/>
    <w:rsid w:val="00BF7586"/>
    <w:rsid w:val="00C00211"/>
    <w:rsid w:val="00C01266"/>
    <w:rsid w:val="00C01503"/>
    <w:rsid w:val="00C02D6E"/>
    <w:rsid w:val="00C0732A"/>
    <w:rsid w:val="00C12AAC"/>
    <w:rsid w:val="00C1307E"/>
    <w:rsid w:val="00C1386F"/>
    <w:rsid w:val="00C14074"/>
    <w:rsid w:val="00C160D0"/>
    <w:rsid w:val="00C215EF"/>
    <w:rsid w:val="00C23658"/>
    <w:rsid w:val="00C25063"/>
    <w:rsid w:val="00C2622A"/>
    <w:rsid w:val="00C267B9"/>
    <w:rsid w:val="00C32537"/>
    <w:rsid w:val="00C328F4"/>
    <w:rsid w:val="00C32A65"/>
    <w:rsid w:val="00C3479D"/>
    <w:rsid w:val="00C34817"/>
    <w:rsid w:val="00C42C0F"/>
    <w:rsid w:val="00C44852"/>
    <w:rsid w:val="00C45C7C"/>
    <w:rsid w:val="00C468E0"/>
    <w:rsid w:val="00C475C1"/>
    <w:rsid w:val="00C512BC"/>
    <w:rsid w:val="00C51CA3"/>
    <w:rsid w:val="00C526CA"/>
    <w:rsid w:val="00C53872"/>
    <w:rsid w:val="00C56736"/>
    <w:rsid w:val="00C57B71"/>
    <w:rsid w:val="00C57CE8"/>
    <w:rsid w:val="00C613A7"/>
    <w:rsid w:val="00C66A05"/>
    <w:rsid w:val="00C7008E"/>
    <w:rsid w:val="00C713DA"/>
    <w:rsid w:val="00C9046E"/>
    <w:rsid w:val="00C9179B"/>
    <w:rsid w:val="00CA02E9"/>
    <w:rsid w:val="00CA2843"/>
    <w:rsid w:val="00CA538E"/>
    <w:rsid w:val="00CA5DD8"/>
    <w:rsid w:val="00CA7372"/>
    <w:rsid w:val="00CB025B"/>
    <w:rsid w:val="00CB0D00"/>
    <w:rsid w:val="00CB22A7"/>
    <w:rsid w:val="00CB235D"/>
    <w:rsid w:val="00CB3EE6"/>
    <w:rsid w:val="00CB585C"/>
    <w:rsid w:val="00CB65CE"/>
    <w:rsid w:val="00CC11C1"/>
    <w:rsid w:val="00CC1E94"/>
    <w:rsid w:val="00CC50CB"/>
    <w:rsid w:val="00CC5892"/>
    <w:rsid w:val="00CC7514"/>
    <w:rsid w:val="00CC7808"/>
    <w:rsid w:val="00CC7F7A"/>
    <w:rsid w:val="00CD2E67"/>
    <w:rsid w:val="00CD4C50"/>
    <w:rsid w:val="00CD5C34"/>
    <w:rsid w:val="00CD7631"/>
    <w:rsid w:val="00CE230D"/>
    <w:rsid w:val="00CE3194"/>
    <w:rsid w:val="00CE5C16"/>
    <w:rsid w:val="00CE7FED"/>
    <w:rsid w:val="00CF6326"/>
    <w:rsid w:val="00CF66AE"/>
    <w:rsid w:val="00CF66E4"/>
    <w:rsid w:val="00D00A1E"/>
    <w:rsid w:val="00D04B6E"/>
    <w:rsid w:val="00D055E9"/>
    <w:rsid w:val="00D070B7"/>
    <w:rsid w:val="00D10FC9"/>
    <w:rsid w:val="00D11E13"/>
    <w:rsid w:val="00D146EF"/>
    <w:rsid w:val="00D219B8"/>
    <w:rsid w:val="00D23306"/>
    <w:rsid w:val="00D26A87"/>
    <w:rsid w:val="00D3000D"/>
    <w:rsid w:val="00D32329"/>
    <w:rsid w:val="00D36AAB"/>
    <w:rsid w:val="00D36D11"/>
    <w:rsid w:val="00D408E8"/>
    <w:rsid w:val="00D40BFD"/>
    <w:rsid w:val="00D4400F"/>
    <w:rsid w:val="00D45A0F"/>
    <w:rsid w:val="00D462E4"/>
    <w:rsid w:val="00D4659C"/>
    <w:rsid w:val="00D50C49"/>
    <w:rsid w:val="00D53294"/>
    <w:rsid w:val="00D55E70"/>
    <w:rsid w:val="00D5622F"/>
    <w:rsid w:val="00D60495"/>
    <w:rsid w:val="00D64584"/>
    <w:rsid w:val="00D6493A"/>
    <w:rsid w:val="00D71E0B"/>
    <w:rsid w:val="00D723C8"/>
    <w:rsid w:val="00D73B0D"/>
    <w:rsid w:val="00D73C86"/>
    <w:rsid w:val="00D75B54"/>
    <w:rsid w:val="00D76884"/>
    <w:rsid w:val="00D809D1"/>
    <w:rsid w:val="00D82642"/>
    <w:rsid w:val="00D82D89"/>
    <w:rsid w:val="00D82DD9"/>
    <w:rsid w:val="00D83362"/>
    <w:rsid w:val="00D8345E"/>
    <w:rsid w:val="00D85217"/>
    <w:rsid w:val="00D85688"/>
    <w:rsid w:val="00D859FB"/>
    <w:rsid w:val="00D92B04"/>
    <w:rsid w:val="00D944DE"/>
    <w:rsid w:val="00D9457E"/>
    <w:rsid w:val="00D95839"/>
    <w:rsid w:val="00D96430"/>
    <w:rsid w:val="00DA0A86"/>
    <w:rsid w:val="00DA1022"/>
    <w:rsid w:val="00DA1D9E"/>
    <w:rsid w:val="00DA2AF7"/>
    <w:rsid w:val="00DA491C"/>
    <w:rsid w:val="00DA5A61"/>
    <w:rsid w:val="00DB5B64"/>
    <w:rsid w:val="00DB5BE8"/>
    <w:rsid w:val="00DB7360"/>
    <w:rsid w:val="00DC12F2"/>
    <w:rsid w:val="00DC249D"/>
    <w:rsid w:val="00DC2EE6"/>
    <w:rsid w:val="00DC31A1"/>
    <w:rsid w:val="00DC5168"/>
    <w:rsid w:val="00DD1307"/>
    <w:rsid w:val="00DD2A9C"/>
    <w:rsid w:val="00DD3DEF"/>
    <w:rsid w:val="00DD4B74"/>
    <w:rsid w:val="00DD5846"/>
    <w:rsid w:val="00DD7AEF"/>
    <w:rsid w:val="00DE00D0"/>
    <w:rsid w:val="00DE1B7F"/>
    <w:rsid w:val="00DE1E39"/>
    <w:rsid w:val="00DE266B"/>
    <w:rsid w:val="00DE2BE3"/>
    <w:rsid w:val="00DE42E9"/>
    <w:rsid w:val="00DE4C6D"/>
    <w:rsid w:val="00DE5846"/>
    <w:rsid w:val="00DE7FD2"/>
    <w:rsid w:val="00DF0260"/>
    <w:rsid w:val="00DF10D9"/>
    <w:rsid w:val="00DF1664"/>
    <w:rsid w:val="00DF1CD2"/>
    <w:rsid w:val="00DF2E41"/>
    <w:rsid w:val="00DF6536"/>
    <w:rsid w:val="00DF7567"/>
    <w:rsid w:val="00E00523"/>
    <w:rsid w:val="00E00B80"/>
    <w:rsid w:val="00E033AD"/>
    <w:rsid w:val="00E04822"/>
    <w:rsid w:val="00E05B14"/>
    <w:rsid w:val="00E05FBE"/>
    <w:rsid w:val="00E0600E"/>
    <w:rsid w:val="00E109DF"/>
    <w:rsid w:val="00E11B81"/>
    <w:rsid w:val="00E13564"/>
    <w:rsid w:val="00E1411F"/>
    <w:rsid w:val="00E147C9"/>
    <w:rsid w:val="00E148FF"/>
    <w:rsid w:val="00E14940"/>
    <w:rsid w:val="00E14BA1"/>
    <w:rsid w:val="00E14F17"/>
    <w:rsid w:val="00E17767"/>
    <w:rsid w:val="00E17E8A"/>
    <w:rsid w:val="00E23A6F"/>
    <w:rsid w:val="00E25E00"/>
    <w:rsid w:val="00E3092C"/>
    <w:rsid w:val="00E3296D"/>
    <w:rsid w:val="00E33239"/>
    <w:rsid w:val="00E3586E"/>
    <w:rsid w:val="00E3744C"/>
    <w:rsid w:val="00E37D8D"/>
    <w:rsid w:val="00E40515"/>
    <w:rsid w:val="00E40A2B"/>
    <w:rsid w:val="00E467D7"/>
    <w:rsid w:val="00E46ABA"/>
    <w:rsid w:val="00E47486"/>
    <w:rsid w:val="00E475F9"/>
    <w:rsid w:val="00E50A08"/>
    <w:rsid w:val="00E54B17"/>
    <w:rsid w:val="00E55E3C"/>
    <w:rsid w:val="00E60D25"/>
    <w:rsid w:val="00E62217"/>
    <w:rsid w:val="00E66152"/>
    <w:rsid w:val="00E667CF"/>
    <w:rsid w:val="00E70DF4"/>
    <w:rsid w:val="00E7109B"/>
    <w:rsid w:val="00E7309B"/>
    <w:rsid w:val="00E73793"/>
    <w:rsid w:val="00E755C9"/>
    <w:rsid w:val="00E81857"/>
    <w:rsid w:val="00E864F2"/>
    <w:rsid w:val="00E9134A"/>
    <w:rsid w:val="00E923DD"/>
    <w:rsid w:val="00E92A52"/>
    <w:rsid w:val="00E936ED"/>
    <w:rsid w:val="00E94756"/>
    <w:rsid w:val="00E94778"/>
    <w:rsid w:val="00E95156"/>
    <w:rsid w:val="00E954DF"/>
    <w:rsid w:val="00E962D3"/>
    <w:rsid w:val="00EA0D88"/>
    <w:rsid w:val="00EA4454"/>
    <w:rsid w:val="00EA5362"/>
    <w:rsid w:val="00EA6EDB"/>
    <w:rsid w:val="00EB2DE6"/>
    <w:rsid w:val="00EB4894"/>
    <w:rsid w:val="00EB6FA4"/>
    <w:rsid w:val="00EC06B1"/>
    <w:rsid w:val="00EC1CBB"/>
    <w:rsid w:val="00EC2AD0"/>
    <w:rsid w:val="00EC4115"/>
    <w:rsid w:val="00EC489E"/>
    <w:rsid w:val="00EC67F5"/>
    <w:rsid w:val="00ED0178"/>
    <w:rsid w:val="00ED1943"/>
    <w:rsid w:val="00ED2B1B"/>
    <w:rsid w:val="00ED2F2F"/>
    <w:rsid w:val="00ED32A1"/>
    <w:rsid w:val="00ED474A"/>
    <w:rsid w:val="00ED618C"/>
    <w:rsid w:val="00ED6CC2"/>
    <w:rsid w:val="00ED7673"/>
    <w:rsid w:val="00ED7A2E"/>
    <w:rsid w:val="00EE1AE2"/>
    <w:rsid w:val="00EE2D5A"/>
    <w:rsid w:val="00EE5944"/>
    <w:rsid w:val="00EE7037"/>
    <w:rsid w:val="00EF03FA"/>
    <w:rsid w:val="00EF09EC"/>
    <w:rsid w:val="00EF3B95"/>
    <w:rsid w:val="00EF3DFC"/>
    <w:rsid w:val="00F004D8"/>
    <w:rsid w:val="00F024D6"/>
    <w:rsid w:val="00F04134"/>
    <w:rsid w:val="00F076CB"/>
    <w:rsid w:val="00F1082A"/>
    <w:rsid w:val="00F122DB"/>
    <w:rsid w:val="00F1444D"/>
    <w:rsid w:val="00F151AE"/>
    <w:rsid w:val="00F16B37"/>
    <w:rsid w:val="00F236D6"/>
    <w:rsid w:val="00F26E9F"/>
    <w:rsid w:val="00F27D7D"/>
    <w:rsid w:val="00F30F99"/>
    <w:rsid w:val="00F36D1D"/>
    <w:rsid w:val="00F40152"/>
    <w:rsid w:val="00F456E7"/>
    <w:rsid w:val="00F45844"/>
    <w:rsid w:val="00F52CBB"/>
    <w:rsid w:val="00F546BE"/>
    <w:rsid w:val="00F5763A"/>
    <w:rsid w:val="00F60909"/>
    <w:rsid w:val="00F61357"/>
    <w:rsid w:val="00F625F5"/>
    <w:rsid w:val="00F67475"/>
    <w:rsid w:val="00F73268"/>
    <w:rsid w:val="00F77126"/>
    <w:rsid w:val="00F77736"/>
    <w:rsid w:val="00F811CB"/>
    <w:rsid w:val="00F81673"/>
    <w:rsid w:val="00F81E0F"/>
    <w:rsid w:val="00F8275A"/>
    <w:rsid w:val="00F83287"/>
    <w:rsid w:val="00F84239"/>
    <w:rsid w:val="00F9017E"/>
    <w:rsid w:val="00F90F73"/>
    <w:rsid w:val="00F91517"/>
    <w:rsid w:val="00F92275"/>
    <w:rsid w:val="00F929F4"/>
    <w:rsid w:val="00F92D63"/>
    <w:rsid w:val="00F945D0"/>
    <w:rsid w:val="00F9461A"/>
    <w:rsid w:val="00F96EFF"/>
    <w:rsid w:val="00FA22BC"/>
    <w:rsid w:val="00FA270C"/>
    <w:rsid w:val="00FA345F"/>
    <w:rsid w:val="00FA36F0"/>
    <w:rsid w:val="00FA6D44"/>
    <w:rsid w:val="00FA7091"/>
    <w:rsid w:val="00FB092F"/>
    <w:rsid w:val="00FB2E70"/>
    <w:rsid w:val="00FB4F0F"/>
    <w:rsid w:val="00FB7626"/>
    <w:rsid w:val="00FC018F"/>
    <w:rsid w:val="00FC0BF3"/>
    <w:rsid w:val="00FC290C"/>
    <w:rsid w:val="00FD02AE"/>
    <w:rsid w:val="00FD03D6"/>
    <w:rsid w:val="00FD07FD"/>
    <w:rsid w:val="00FD0A25"/>
    <w:rsid w:val="00FD0C9A"/>
    <w:rsid w:val="00FD1315"/>
    <w:rsid w:val="00FD5890"/>
    <w:rsid w:val="00FD680C"/>
    <w:rsid w:val="00FD6E5D"/>
    <w:rsid w:val="00FE1E98"/>
    <w:rsid w:val="00FE3D2F"/>
    <w:rsid w:val="00FE3D38"/>
    <w:rsid w:val="00FE6CA4"/>
    <w:rsid w:val="00FF4FD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14:docId w14:val="4EC93A16"/>
  <w15:docId w15:val="{EAC3C572-CB44-4589-AF3B-EB74CB430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paragraph" w:styleId="berschrift1">
    <w:name w:val="heading 1"/>
    <w:basedOn w:val="Standard"/>
    <w:next w:val="Standard"/>
    <w:qFormat/>
    <w:pPr>
      <w:keepNext/>
      <w:tabs>
        <w:tab w:val="left" w:pos="8460"/>
      </w:tabs>
      <w:spacing w:line="360" w:lineRule="auto"/>
      <w:jc w:val="center"/>
      <w:outlineLvl w:val="0"/>
    </w:pPr>
    <w:rPr>
      <w:rFonts w:ascii="Verdana" w:hAnsi="Verdana"/>
      <w:b/>
      <w:bCs/>
      <w:sz w:val="28"/>
    </w:rPr>
  </w:style>
  <w:style w:type="paragraph" w:styleId="berschrift2">
    <w:name w:val="heading 2"/>
    <w:basedOn w:val="Standard"/>
    <w:next w:val="Standard"/>
    <w:qFormat/>
    <w:pPr>
      <w:keepNext/>
      <w:tabs>
        <w:tab w:val="left" w:pos="8460"/>
      </w:tabs>
      <w:spacing w:line="360" w:lineRule="auto"/>
      <w:outlineLvl w:val="1"/>
    </w:pPr>
    <w:rPr>
      <w:rFonts w:ascii="Verdana" w:hAnsi="Verdana"/>
      <w:sz w:val="22"/>
      <w:u w:val="single"/>
    </w:rPr>
  </w:style>
  <w:style w:type="paragraph" w:styleId="berschrift3">
    <w:name w:val="heading 3"/>
    <w:basedOn w:val="Standard"/>
    <w:next w:val="Standard"/>
    <w:qFormat/>
    <w:pPr>
      <w:keepNext/>
      <w:spacing w:line="360" w:lineRule="auto"/>
      <w:outlineLvl w:val="2"/>
    </w:pPr>
    <w:rPr>
      <w:rFonts w:ascii="Verdana" w:hAnsi="Verdana"/>
      <w:i/>
      <w:iCs/>
      <w:sz w:val="22"/>
    </w:rPr>
  </w:style>
  <w:style w:type="paragraph" w:styleId="berschrift4">
    <w:name w:val="heading 4"/>
    <w:basedOn w:val="Standard"/>
    <w:next w:val="Standard"/>
    <w:qFormat/>
    <w:pPr>
      <w:keepNext/>
      <w:tabs>
        <w:tab w:val="left" w:pos="5580"/>
        <w:tab w:val="left" w:pos="6840"/>
      </w:tabs>
      <w:ind w:left="1260" w:hanging="1260"/>
      <w:outlineLvl w:val="3"/>
    </w:pPr>
    <w:rPr>
      <w:rFonts w:ascii="Verdana" w:hAnsi="Verdana"/>
      <w:b/>
    </w:rPr>
  </w:style>
  <w:style w:type="paragraph" w:styleId="berschrift5">
    <w:name w:val="heading 5"/>
    <w:basedOn w:val="Standard"/>
    <w:next w:val="Standard"/>
    <w:link w:val="berschrift5Zchn"/>
    <w:qFormat/>
    <w:pPr>
      <w:keepNext/>
      <w:numPr>
        <w:numId w:val="1"/>
      </w:numPr>
      <w:tabs>
        <w:tab w:val="left" w:pos="5580"/>
        <w:tab w:val="left" w:pos="6840"/>
      </w:tabs>
      <w:spacing w:line="360" w:lineRule="auto"/>
      <w:outlineLvl w:val="4"/>
    </w:pPr>
    <w:rPr>
      <w:rFonts w:ascii="Verdana" w:hAnsi="Verdana"/>
      <w:b/>
      <w:sz w:val="22"/>
    </w:rPr>
  </w:style>
  <w:style w:type="paragraph" w:styleId="berschrift6">
    <w:name w:val="heading 6"/>
    <w:basedOn w:val="Standard"/>
    <w:next w:val="Standard"/>
    <w:qFormat/>
    <w:rsid w:val="00351340"/>
    <w:pPr>
      <w:spacing w:before="240" w:after="60"/>
      <w:outlineLvl w:val="5"/>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ind w:left="708"/>
    </w:pPr>
    <w:rPr>
      <w:rFonts w:ascii="Verdana" w:hAnsi="Verdana"/>
      <w:b/>
      <w:bCs/>
    </w:rPr>
  </w:style>
  <w:style w:type="paragraph" w:styleId="Kopfzeile">
    <w:name w:val="header"/>
    <w:basedOn w:val="Standard"/>
    <w:pPr>
      <w:tabs>
        <w:tab w:val="center" w:pos="4536"/>
        <w:tab w:val="right" w:pos="9072"/>
      </w:tabs>
    </w:pPr>
  </w:style>
  <w:style w:type="character" w:styleId="Seitenzahl">
    <w:name w:val="page number"/>
    <w:basedOn w:val="Absatz-Standardschriftart"/>
    <w:semiHidden/>
  </w:style>
  <w:style w:type="paragraph" w:styleId="Textkrper-Einzug2">
    <w:name w:val="Body Text Indent 2"/>
    <w:basedOn w:val="Standard"/>
    <w:semiHidden/>
    <w:pPr>
      <w:ind w:left="360" w:hanging="360"/>
    </w:pPr>
    <w:rPr>
      <w:rFonts w:ascii="Verdana" w:hAnsi="Verdana"/>
      <w:b/>
      <w:bCs/>
      <w:sz w:val="22"/>
    </w:rPr>
  </w:style>
  <w:style w:type="paragraph" w:styleId="Fuzeile">
    <w:name w:val="footer"/>
    <w:basedOn w:val="Standard"/>
    <w:link w:val="FuzeileZchn"/>
    <w:pPr>
      <w:tabs>
        <w:tab w:val="center" w:pos="4536"/>
        <w:tab w:val="right" w:pos="9072"/>
      </w:tabs>
    </w:pPr>
  </w:style>
  <w:style w:type="paragraph" w:styleId="Textkrper">
    <w:name w:val="Body Text"/>
    <w:basedOn w:val="Standard"/>
    <w:semiHidden/>
    <w:rPr>
      <w:rFonts w:ascii="Verdana" w:hAnsi="Verdana"/>
      <w:b/>
      <w:bCs/>
    </w:rPr>
  </w:style>
  <w:style w:type="paragraph" w:styleId="Textkrper-Einzug3">
    <w:name w:val="Body Text Indent 3"/>
    <w:basedOn w:val="Standard"/>
    <w:semiHidden/>
    <w:pPr>
      <w:tabs>
        <w:tab w:val="left" w:pos="1080"/>
      </w:tabs>
      <w:ind w:left="1620" w:firstLine="708"/>
    </w:pPr>
    <w:rPr>
      <w:rFonts w:ascii="Verdana" w:hAnsi="Verdana"/>
      <w:sz w:val="22"/>
    </w:rPr>
  </w:style>
  <w:style w:type="paragraph" w:styleId="Textkrper2">
    <w:name w:val="Body Text 2"/>
    <w:basedOn w:val="Standard"/>
    <w:semiHidden/>
    <w:pPr>
      <w:tabs>
        <w:tab w:val="left" w:pos="1080"/>
      </w:tabs>
      <w:spacing w:line="360" w:lineRule="auto"/>
    </w:pPr>
    <w:rPr>
      <w:rFonts w:ascii="Verdana" w:hAnsi="Verdana"/>
      <w:sz w:val="22"/>
    </w:rPr>
  </w:style>
  <w:style w:type="paragraph" w:customStyle="1" w:styleId="abs">
    <w:name w:val="abs"/>
    <w:basedOn w:val="Standard"/>
    <w:semiHidden/>
    <w:pPr>
      <w:overflowPunct w:val="0"/>
      <w:autoSpaceDE w:val="0"/>
      <w:autoSpaceDN w:val="0"/>
      <w:adjustRightInd w:val="0"/>
      <w:spacing w:before="360" w:line="360" w:lineRule="auto"/>
      <w:ind w:firstLine="567"/>
      <w:jc w:val="both"/>
      <w:textAlignment w:val="baseline"/>
    </w:pPr>
    <w:rPr>
      <w:lang w:val="de-DE"/>
    </w:rPr>
  </w:style>
  <w:style w:type="paragraph" w:customStyle="1" w:styleId="ab1">
    <w:name w:val="ab1"/>
    <w:basedOn w:val="Standard"/>
    <w:semiHidden/>
    <w:pPr>
      <w:overflowPunct w:val="0"/>
      <w:autoSpaceDE w:val="0"/>
      <w:autoSpaceDN w:val="0"/>
      <w:adjustRightInd w:val="0"/>
      <w:spacing w:before="40" w:line="360" w:lineRule="auto"/>
      <w:jc w:val="both"/>
      <w:textAlignment w:val="baseline"/>
    </w:pPr>
    <w:rPr>
      <w:lang w:val="de-DE"/>
    </w:rPr>
  </w:style>
  <w:style w:type="paragraph" w:customStyle="1" w:styleId="einl">
    <w:name w:val="einl"/>
    <w:basedOn w:val="Standard"/>
    <w:next w:val="abs"/>
    <w:semiHidden/>
    <w:rsid w:val="007B4B73"/>
    <w:pPr>
      <w:overflowPunct w:val="0"/>
      <w:autoSpaceDE w:val="0"/>
      <w:autoSpaceDN w:val="0"/>
      <w:adjustRightInd w:val="0"/>
      <w:spacing w:before="600" w:line="360" w:lineRule="auto"/>
      <w:ind w:firstLine="567"/>
      <w:jc w:val="both"/>
      <w:textAlignment w:val="baseline"/>
    </w:pPr>
    <w:rPr>
      <w:szCs w:val="20"/>
      <w:lang w:val="de-DE"/>
    </w:rPr>
  </w:style>
  <w:style w:type="paragraph" w:customStyle="1" w:styleId="htit1">
    <w:name w:val="htit1"/>
    <w:basedOn w:val="Standard"/>
    <w:semiHidden/>
    <w:rsid w:val="007B4B73"/>
    <w:pPr>
      <w:overflowPunct w:val="0"/>
      <w:autoSpaceDE w:val="0"/>
      <w:autoSpaceDN w:val="0"/>
      <w:adjustRightInd w:val="0"/>
      <w:spacing w:before="840" w:line="360" w:lineRule="auto"/>
      <w:jc w:val="center"/>
      <w:textAlignment w:val="baseline"/>
    </w:pPr>
    <w:rPr>
      <w:b/>
      <w:sz w:val="28"/>
      <w:szCs w:val="20"/>
      <w:lang w:val="de-DE"/>
    </w:rPr>
  </w:style>
  <w:style w:type="paragraph" w:customStyle="1" w:styleId="vom">
    <w:name w:val="vom"/>
    <w:basedOn w:val="Standard"/>
    <w:semiHidden/>
    <w:rsid w:val="007B4B73"/>
    <w:pPr>
      <w:keepNext/>
      <w:overflowPunct w:val="0"/>
      <w:autoSpaceDE w:val="0"/>
      <w:autoSpaceDN w:val="0"/>
      <w:adjustRightInd w:val="0"/>
      <w:spacing w:before="80" w:line="360" w:lineRule="auto"/>
      <w:jc w:val="center"/>
      <w:textAlignment w:val="baseline"/>
    </w:pPr>
    <w:rPr>
      <w:szCs w:val="20"/>
      <w:lang w:val="de-DE"/>
    </w:rPr>
  </w:style>
  <w:style w:type="paragraph" w:customStyle="1" w:styleId="tit1ue">
    <w:name w:val="tit1ue"/>
    <w:basedOn w:val="Standard"/>
    <w:semiHidden/>
    <w:rsid w:val="007B4B73"/>
    <w:pPr>
      <w:keepNext/>
      <w:keepLines/>
      <w:overflowPunct w:val="0"/>
      <w:autoSpaceDE w:val="0"/>
      <w:autoSpaceDN w:val="0"/>
      <w:adjustRightInd w:val="0"/>
      <w:spacing w:before="120" w:line="360" w:lineRule="auto"/>
      <w:jc w:val="center"/>
      <w:textAlignment w:val="baseline"/>
    </w:pPr>
    <w:rPr>
      <w:b/>
      <w:szCs w:val="20"/>
      <w:lang w:val="de-DE"/>
    </w:rPr>
  </w:style>
  <w:style w:type="paragraph" w:customStyle="1" w:styleId="art">
    <w:name w:val="art"/>
    <w:basedOn w:val="Standard"/>
    <w:semiHidden/>
    <w:rsid w:val="000658EF"/>
    <w:pPr>
      <w:keepNext/>
      <w:keepLines/>
      <w:overflowPunct w:val="0"/>
      <w:autoSpaceDE w:val="0"/>
      <w:autoSpaceDN w:val="0"/>
      <w:adjustRightInd w:val="0"/>
      <w:spacing w:before="720" w:line="360" w:lineRule="auto"/>
      <w:jc w:val="center"/>
      <w:textAlignment w:val="baseline"/>
    </w:pPr>
    <w:rPr>
      <w:szCs w:val="20"/>
      <w:lang w:val="de-DE"/>
    </w:rPr>
  </w:style>
  <w:style w:type="character" w:styleId="Hyperlink">
    <w:name w:val="Hyperlink"/>
    <w:uiPriority w:val="99"/>
    <w:rsid w:val="0063032A"/>
    <w:rPr>
      <w:color w:val="0000FF"/>
      <w:u w:val="single"/>
    </w:rPr>
  </w:style>
  <w:style w:type="paragraph" w:styleId="Sprechblasentext">
    <w:name w:val="Balloon Text"/>
    <w:basedOn w:val="Standard"/>
    <w:link w:val="SprechblasentextZchn"/>
    <w:rsid w:val="004810A7"/>
    <w:rPr>
      <w:rFonts w:ascii="Tahoma" w:hAnsi="Tahoma"/>
      <w:sz w:val="16"/>
      <w:szCs w:val="16"/>
    </w:rPr>
  </w:style>
  <w:style w:type="paragraph" w:styleId="Verzeichnis1">
    <w:name w:val="toc 1"/>
    <w:basedOn w:val="Standard"/>
    <w:next w:val="Standard"/>
    <w:autoRedefine/>
    <w:uiPriority w:val="39"/>
    <w:rsid w:val="00EB03A7"/>
    <w:pPr>
      <w:tabs>
        <w:tab w:val="left" w:pos="480"/>
        <w:tab w:val="right" w:leader="dot" w:pos="9004"/>
      </w:tabs>
      <w:spacing w:before="120"/>
    </w:pPr>
    <w:rPr>
      <w:b/>
      <w:bCs/>
      <w:noProof/>
    </w:rPr>
  </w:style>
  <w:style w:type="paragraph" w:styleId="Verzeichnis2">
    <w:name w:val="toc 2"/>
    <w:basedOn w:val="Standard"/>
    <w:next w:val="Standard"/>
    <w:autoRedefine/>
    <w:uiPriority w:val="39"/>
    <w:rsid w:val="00142BEA"/>
    <w:pPr>
      <w:tabs>
        <w:tab w:val="left" w:pos="720"/>
        <w:tab w:val="right" w:leader="dot" w:pos="9004"/>
      </w:tabs>
      <w:spacing w:before="120"/>
      <w:ind w:left="238"/>
    </w:pPr>
  </w:style>
  <w:style w:type="paragraph" w:styleId="Verzeichnis3">
    <w:name w:val="toc 3"/>
    <w:basedOn w:val="Standard"/>
    <w:next w:val="Standard"/>
    <w:autoRedefine/>
    <w:uiPriority w:val="39"/>
    <w:rsid w:val="005573E0"/>
    <w:pPr>
      <w:tabs>
        <w:tab w:val="left" w:pos="960"/>
        <w:tab w:val="left" w:pos="1440"/>
        <w:tab w:val="right" w:leader="dot" w:pos="9004"/>
      </w:tabs>
      <w:ind w:left="480" w:firstLine="60"/>
    </w:pPr>
  </w:style>
  <w:style w:type="paragraph" w:styleId="Verzeichnis4">
    <w:name w:val="toc 4"/>
    <w:basedOn w:val="Standard"/>
    <w:next w:val="Standard"/>
    <w:autoRedefine/>
    <w:uiPriority w:val="39"/>
    <w:rsid w:val="006E27D8"/>
    <w:pPr>
      <w:ind w:left="720"/>
    </w:pPr>
  </w:style>
  <w:style w:type="paragraph" w:styleId="Verzeichnis5">
    <w:name w:val="toc 5"/>
    <w:basedOn w:val="Standard"/>
    <w:next w:val="Standard"/>
    <w:autoRedefine/>
    <w:uiPriority w:val="39"/>
    <w:rsid w:val="0060751C"/>
    <w:pPr>
      <w:ind w:left="960"/>
    </w:pPr>
  </w:style>
  <w:style w:type="paragraph" w:styleId="Verzeichnis6">
    <w:name w:val="toc 6"/>
    <w:basedOn w:val="Standard"/>
    <w:next w:val="Standard"/>
    <w:autoRedefine/>
    <w:uiPriority w:val="39"/>
    <w:rsid w:val="000E30CD"/>
    <w:pPr>
      <w:ind w:left="1200"/>
    </w:pPr>
    <w:rPr>
      <w:lang w:eastAsia="de-CH"/>
    </w:rPr>
  </w:style>
  <w:style w:type="paragraph" w:styleId="Verzeichnis7">
    <w:name w:val="toc 7"/>
    <w:basedOn w:val="Standard"/>
    <w:next w:val="Standard"/>
    <w:autoRedefine/>
    <w:uiPriority w:val="39"/>
    <w:rsid w:val="000E30CD"/>
    <w:pPr>
      <w:ind w:left="1440"/>
    </w:pPr>
    <w:rPr>
      <w:lang w:eastAsia="de-CH"/>
    </w:rPr>
  </w:style>
  <w:style w:type="paragraph" w:styleId="Verzeichnis8">
    <w:name w:val="toc 8"/>
    <w:basedOn w:val="Standard"/>
    <w:next w:val="Standard"/>
    <w:autoRedefine/>
    <w:uiPriority w:val="39"/>
    <w:rsid w:val="000E30CD"/>
    <w:pPr>
      <w:ind w:left="1680"/>
    </w:pPr>
    <w:rPr>
      <w:lang w:eastAsia="de-CH"/>
    </w:rPr>
  </w:style>
  <w:style w:type="paragraph" w:styleId="Verzeichnis9">
    <w:name w:val="toc 9"/>
    <w:basedOn w:val="Standard"/>
    <w:next w:val="Standard"/>
    <w:autoRedefine/>
    <w:uiPriority w:val="39"/>
    <w:rsid w:val="000E30CD"/>
    <w:pPr>
      <w:ind w:left="1920"/>
    </w:pPr>
    <w:rPr>
      <w:lang w:eastAsia="de-CH"/>
    </w:rPr>
  </w:style>
  <w:style w:type="character" w:styleId="Kommentarzeichen">
    <w:name w:val="annotation reference"/>
    <w:semiHidden/>
    <w:rsid w:val="004A165B"/>
    <w:rPr>
      <w:sz w:val="16"/>
      <w:szCs w:val="16"/>
    </w:rPr>
  </w:style>
  <w:style w:type="paragraph" w:styleId="Kommentartext">
    <w:name w:val="annotation text"/>
    <w:basedOn w:val="Standard"/>
    <w:link w:val="KommentartextZchn"/>
    <w:uiPriority w:val="99"/>
    <w:rsid w:val="004A165B"/>
    <w:rPr>
      <w:sz w:val="20"/>
      <w:szCs w:val="20"/>
    </w:rPr>
  </w:style>
  <w:style w:type="paragraph" w:styleId="Kommentarthema">
    <w:name w:val="annotation subject"/>
    <w:basedOn w:val="Kommentartext"/>
    <w:next w:val="Kommentartext"/>
    <w:link w:val="KommentarthemaZchn"/>
    <w:rsid w:val="004A165B"/>
    <w:rPr>
      <w:b/>
      <w:bCs/>
    </w:rPr>
  </w:style>
  <w:style w:type="paragraph" w:styleId="Dokumentstruktur">
    <w:name w:val="Document Map"/>
    <w:basedOn w:val="Standard"/>
    <w:semiHidden/>
    <w:rsid w:val="00186051"/>
    <w:pPr>
      <w:shd w:val="clear" w:color="auto" w:fill="000080"/>
    </w:pPr>
    <w:rPr>
      <w:rFonts w:ascii="Tahoma" w:hAnsi="Tahoma" w:cs="Tahoma"/>
    </w:rPr>
  </w:style>
  <w:style w:type="paragraph" w:customStyle="1" w:styleId="Default">
    <w:name w:val="Default"/>
    <w:rsid w:val="00C2027B"/>
    <w:pPr>
      <w:autoSpaceDE w:val="0"/>
      <w:autoSpaceDN w:val="0"/>
      <w:adjustRightInd w:val="0"/>
    </w:pPr>
    <w:rPr>
      <w:rFonts w:ascii="EUAlbertina" w:hAnsi="EUAlbertina" w:cs="EUAlbertina"/>
      <w:color w:val="000000"/>
      <w:sz w:val="24"/>
      <w:szCs w:val="24"/>
    </w:rPr>
  </w:style>
  <w:style w:type="paragraph" w:styleId="StandardWeb">
    <w:name w:val="Normal (Web)"/>
    <w:basedOn w:val="Standard"/>
    <w:uiPriority w:val="99"/>
    <w:rsid w:val="00073955"/>
    <w:pPr>
      <w:spacing w:before="100" w:beforeAutospacing="1" w:after="100" w:afterAutospacing="1"/>
    </w:pPr>
    <w:rPr>
      <w:lang w:eastAsia="de-CH"/>
    </w:rPr>
  </w:style>
  <w:style w:type="character" w:styleId="Hervorhebung">
    <w:name w:val="Emphasis"/>
    <w:qFormat/>
    <w:rsid w:val="00536E80"/>
    <w:rPr>
      <w:b/>
      <w:bCs/>
      <w:i w:val="0"/>
      <w:iCs w:val="0"/>
    </w:rPr>
  </w:style>
  <w:style w:type="table" w:styleId="Tabellenraster">
    <w:name w:val="Table Grid"/>
    <w:basedOn w:val="NormaleTabelle"/>
    <w:uiPriority w:val="59"/>
    <w:rsid w:val="00BC1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1TimesNewRoman">
    <w:name w:val="Formatvorlage Überschrift 1 + Times New Roman"/>
    <w:basedOn w:val="berschrift1"/>
    <w:rsid w:val="00AC28C9"/>
    <w:pPr>
      <w:spacing w:before="360" w:after="360"/>
    </w:pPr>
    <w:rPr>
      <w:rFonts w:ascii="Times New Roman" w:hAnsi="Times New Roman"/>
    </w:rPr>
  </w:style>
  <w:style w:type="paragraph" w:customStyle="1" w:styleId="FormatvorlageabsFettKursivZentriertErsteZeile0cm">
    <w:name w:val="Formatvorlage abs + Fett Kursiv Zentriert Erste Zeile:  0 cm"/>
    <w:basedOn w:val="berschrift6"/>
    <w:rsid w:val="00351340"/>
    <w:pPr>
      <w:jc w:val="center"/>
    </w:pPr>
    <w:rPr>
      <w:b w:val="0"/>
      <w:bCs w:val="0"/>
      <w:i/>
      <w:iCs/>
      <w:szCs w:val="20"/>
    </w:rPr>
  </w:style>
  <w:style w:type="paragraph" w:customStyle="1" w:styleId="StandardWeb3">
    <w:name w:val="Standard (Web)3"/>
    <w:basedOn w:val="Standard"/>
    <w:rsid w:val="0097502E"/>
    <w:pPr>
      <w:spacing w:before="100" w:beforeAutospacing="1" w:after="100" w:afterAutospacing="1"/>
    </w:pPr>
    <w:rPr>
      <w:rFonts w:ascii="Verdana" w:hAnsi="Verdana"/>
      <w:color w:val="333333"/>
      <w:sz w:val="23"/>
      <w:szCs w:val="23"/>
      <w:lang w:eastAsia="de-CH"/>
    </w:rPr>
  </w:style>
  <w:style w:type="paragraph" w:customStyle="1" w:styleId="Formatvorlageberschrift3TimesNewRoman13ptFettNichtKursivZ">
    <w:name w:val="Formatvorlage Überschrift 3 + Times New Roman 13 pt Fett Nicht Kursiv Z..."/>
    <w:basedOn w:val="berschrift3"/>
    <w:rsid w:val="00771540"/>
    <w:pPr>
      <w:numPr>
        <w:numId w:val="2"/>
      </w:numPr>
      <w:spacing w:before="720"/>
      <w:jc w:val="center"/>
    </w:pPr>
    <w:rPr>
      <w:rFonts w:ascii="Times New Roman" w:hAnsi="Times New Roman"/>
      <w:b/>
      <w:bCs/>
      <w:i w:val="0"/>
      <w:iCs w:val="0"/>
      <w:sz w:val="26"/>
      <w:szCs w:val="20"/>
    </w:rPr>
  </w:style>
  <w:style w:type="character" w:customStyle="1" w:styleId="FuzeileZchn">
    <w:name w:val="Fußzeile Zchn"/>
    <w:link w:val="Fuzeile"/>
    <w:rsid w:val="00DF2E41"/>
    <w:rPr>
      <w:sz w:val="24"/>
      <w:szCs w:val="24"/>
      <w:lang w:eastAsia="de-DE"/>
    </w:rPr>
  </w:style>
  <w:style w:type="paragraph" w:customStyle="1" w:styleId="Fusszeile">
    <w:name w:val="Fusszeile"/>
    <w:basedOn w:val="Standard"/>
    <w:rsid w:val="000E5A8C"/>
    <w:pPr>
      <w:tabs>
        <w:tab w:val="center" w:pos="4763"/>
        <w:tab w:val="right" w:pos="9526"/>
      </w:tabs>
      <w:spacing w:line="160" w:lineRule="exact"/>
      <w:jc w:val="both"/>
    </w:pPr>
    <w:rPr>
      <w:rFonts w:ascii="Arial" w:eastAsia="Cambria" w:hAnsi="Arial"/>
      <w:spacing w:val="8"/>
      <w:sz w:val="12"/>
      <w:lang w:val="de-DE" w:eastAsia="en-US"/>
    </w:rPr>
  </w:style>
  <w:style w:type="paragraph" w:styleId="Listenabsatz">
    <w:name w:val="List Paragraph"/>
    <w:basedOn w:val="Standard"/>
    <w:uiPriority w:val="34"/>
    <w:qFormat/>
    <w:rsid w:val="00DD5846"/>
    <w:pPr>
      <w:ind w:left="720"/>
      <w:contextualSpacing/>
    </w:pPr>
    <w:rPr>
      <w:rFonts w:ascii="Arial" w:hAnsi="Arial"/>
      <w:sz w:val="20"/>
    </w:rPr>
  </w:style>
  <w:style w:type="paragraph" w:styleId="Inhaltsverzeichnisberschrift">
    <w:name w:val="TOC Heading"/>
    <w:basedOn w:val="berschrift1"/>
    <w:next w:val="Standard"/>
    <w:uiPriority w:val="39"/>
    <w:unhideWhenUsed/>
    <w:qFormat/>
    <w:rsid w:val="00DD5846"/>
    <w:pPr>
      <w:keepLines/>
      <w:tabs>
        <w:tab w:val="clear" w:pos="8460"/>
        <w:tab w:val="left" w:pos="1134"/>
      </w:tabs>
      <w:spacing w:before="480" w:after="120" w:line="276" w:lineRule="auto"/>
      <w:ind w:left="851" w:hanging="851"/>
      <w:jc w:val="left"/>
      <w:outlineLvl w:val="9"/>
    </w:pPr>
    <w:rPr>
      <w:rFonts w:asciiTheme="majorHAnsi" w:eastAsiaTheme="majorEastAsia" w:hAnsiTheme="majorHAnsi" w:cstheme="majorBidi"/>
      <w:color w:val="365F91" w:themeColor="accent1" w:themeShade="BF"/>
      <w:szCs w:val="28"/>
      <w:lang w:eastAsia="de-CH"/>
    </w:rPr>
  </w:style>
  <w:style w:type="paragraph" w:styleId="berarbeitung">
    <w:name w:val="Revision"/>
    <w:hidden/>
    <w:uiPriority w:val="99"/>
    <w:semiHidden/>
    <w:rsid w:val="00DD5846"/>
    <w:rPr>
      <w:rFonts w:ascii="Arial" w:hAnsi="Arial"/>
      <w:szCs w:val="24"/>
      <w:lang w:eastAsia="de-DE"/>
    </w:rPr>
  </w:style>
  <w:style w:type="character" w:customStyle="1" w:styleId="KommentartextZchn">
    <w:name w:val="Kommentartext Zchn"/>
    <w:link w:val="Kommentartext"/>
    <w:uiPriority w:val="99"/>
    <w:rsid w:val="00DD5846"/>
    <w:rPr>
      <w:lang w:eastAsia="de-DE"/>
    </w:rPr>
  </w:style>
  <w:style w:type="character" w:customStyle="1" w:styleId="SprechblasentextZchn">
    <w:name w:val="Sprechblasentext Zchn"/>
    <w:link w:val="Sprechblasentext"/>
    <w:rsid w:val="00DD5846"/>
    <w:rPr>
      <w:rFonts w:ascii="Tahoma" w:hAnsi="Tahoma"/>
      <w:sz w:val="16"/>
      <w:szCs w:val="16"/>
      <w:lang w:eastAsia="de-DE"/>
    </w:rPr>
  </w:style>
  <w:style w:type="paragraph" w:styleId="Aufzhlungszeichen">
    <w:name w:val="List Bullet"/>
    <w:basedOn w:val="Standard"/>
    <w:rsid w:val="00DD5846"/>
    <w:pPr>
      <w:numPr>
        <w:numId w:val="3"/>
      </w:numPr>
      <w:spacing w:after="120" w:line="240" w:lineRule="atLeast"/>
      <w:jc w:val="both"/>
    </w:pPr>
    <w:rPr>
      <w:rFonts w:ascii="Arial" w:eastAsia="Cambria" w:hAnsi="Arial"/>
      <w:sz w:val="20"/>
      <w:lang w:val="de-DE" w:eastAsia="en-US"/>
    </w:rPr>
  </w:style>
  <w:style w:type="character" w:customStyle="1" w:styleId="KommentarthemaZchn">
    <w:name w:val="Kommentarthema Zchn"/>
    <w:link w:val="Kommentarthema"/>
    <w:rsid w:val="00DD5846"/>
    <w:rPr>
      <w:b/>
      <w:bCs/>
      <w:lang w:eastAsia="de-DE"/>
    </w:rPr>
  </w:style>
  <w:style w:type="paragraph" w:styleId="Textkrper3">
    <w:name w:val="Body Text 3"/>
    <w:basedOn w:val="Standard"/>
    <w:link w:val="Textkrper3Zchn"/>
    <w:uiPriority w:val="99"/>
    <w:unhideWhenUsed/>
    <w:rsid w:val="00DD5846"/>
    <w:pPr>
      <w:spacing w:after="120"/>
    </w:pPr>
    <w:rPr>
      <w:rFonts w:ascii="Arial" w:hAnsi="Arial"/>
      <w:sz w:val="16"/>
      <w:szCs w:val="16"/>
    </w:rPr>
  </w:style>
  <w:style w:type="character" w:customStyle="1" w:styleId="Textkrper3Zchn">
    <w:name w:val="Textkörper 3 Zchn"/>
    <w:basedOn w:val="Absatz-Standardschriftart"/>
    <w:link w:val="Textkrper3"/>
    <w:uiPriority w:val="99"/>
    <w:rsid w:val="00DD5846"/>
    <w:rPr>
      <w:rFonts w:ascii="Arial" w:hAnsi="Arial"/>
      <w:sz w:val="16"/>
      <w:szCs w:val="16"/>
      <w:lang w:eastAsia="de-DE"/>
    </w:rPr>
  </w:style>
  <w:style w:type="character" w:customStyle="1" w:styleId="berschrift5Zchn">
    <w:name w:val="Überschrift 5 Zchn"/>
    <w:basedOn w:val="Absatz-Standardschriftart"/>
    <w:link w:val="berschrift5"/>
    <w:rsid w:val="00DD5846"/>
    <w:rPr>
      <w:rFonts w:ascii="Verdana" w:hAnsi="Verdana"/>
      <w:b/>
      <w:sz w:val="22"/>
      <w:szCs w:val="24"/>
      <w:lang w:eastAsia="de-DE"/>
    </w:rPr>
  </w:style>
  <w:style w:type="character" w:styleId="Funotenzeichen">
    <w:name w:val="footnote reference"/>
    <w:uiPriority w:val="99"/>
    <w:semiHidden/>
    <w:unhideWhenUsed/>
    <w:rsid w:val="00DD5846"/>
    <w:rPr>
      <w:vertAlign w:val="superscript"/>
    </w:rPr>
  </w:style>
  <w:style w:type="paragraph" w:styleId="Untertitel">
    <w:name w:val="Subtitle"/>
    <w:next w:val="Standard"/>
    <w:link w:val="UntertitelZchn"/>
    <w:autoRedefine/>
    <w:uiPriority w:val="11"/>
    <w:qFormat/>
    <w:rsid w:val="00DD5846"/>
    <w:pPr>
      <w:numPr>
        <w:ilvl w:val="1"/>
      </w:numPr>
      <w:spacing w:before="240" w:after="120"/>
    </w:pPr>
    <w:rPr>
      <w:rFonts w:asciiTheme="majorHAnsi" w:eastAsiaTheme="majorEastAsia" w:hAnsiTheme="majorHAnsi" w:cstheme="majorBidi"/>
      <w:color w:val="4F81BD" w:themeColor="accent1"/>
      <w:sz w:val="32"/>
      <w:szCs w:val="32"/>
      <w:lang w:val="en-GB" w:eastAsia="en-US"/>
    </w:rPr>
  </w:style>
  <w:style w:type="character" w:customStyle="1" w:styleId="UntertitelZchn">
    <w:name w:val="Untertitel Zchn"/>
    <w:basedOn w:val="Absatz-Standardschriftart"/>
    <w:link w:val="Untertitel"/>
    <w:uiPriority w:val="11"/>
    <w:rsid w:val="00DD5846"/>
    <w:rPr>
      <w:rFonts w:asciiTheme="majorHAnsi" w:eastAsiaTheme="majorEastAsia" w:hAnsiTheme="majorHAnsi" w:cstheme="majorBidi"/>
      <w:color w:val="4F81BD" w:themeColor="accent1"/>
      <w:sz w:val="32"/>
      <w:szCs w:val="32"/>
      <w:lang w:val="en-GB" w:eastAsia="en-US"/>
    </w:rPr>
  </w:style>
  <w:style w:type="paragraph" w:customStyle="1" w:styleId="FINMAStandardAbsatz">
    <w:name w:val="FINMA Standard Absatz"/>
    <w:basedOn w:val="Standard"/>
    <w:qFormat/>
    <w:rsid w:val="00D36D11"/>
    <w:pPr>
      <w:spacing w:before="260" w:after="260" w:line="260" w:lineRule="atLeast"/>
      <w:jc w:val="both"/>
    </w:pPr>
    <w:rPr>
      <w:rFonts w:ascii="Arial" w:hAnsi="Arial"/>
      <w:sz w:val="20"/>
      <w:szCs w:val="20"/>
    </w:rPr>
  </w:style>
  <w:style w:type="paragraph" w:customStyle="1" w:styleId="FINMAGliederungEbene1">
    <w:name w:val="FINMA Gliederung Ebene 1"/>
    <w:basedOn w:val="Standard"/>
    <w:qFormat/>
    <w:rsid w:val="007A36D2"/>
    <w:pPr>
      <w:numPr>
        <w:numId w:val="15"/>
      </w:numPr>
      <w:spacing w:after="80" w:line="260" w:lineRule="atLeast"/>
      <w:jc w:val="both"/>
    </w:pPr>
    <w:rPr>
      <w:rFonts w:ascii="Arial" w:hAnsi="Arial" w:cs="Arial"/>
      <w:sz w:val="20"/>
      <w:szCs w:val="22"/>
    </w:rPr>
  </w:style>
  <w:style w:type="paragraph" w:customStyle="1" w:styleId="FINMAGliederungEbene2">
    <w:name w:val="FINMA Gliederung Ebene 2"/>
    <w:basedOn w:val="Standard"/>
    <w:qFormat/>
    <w:rsid w:val="007A36D2"/>
    <w:pPr>
      <w:numPr>
        <w:ilvl w:val="1"/>
        <w:numId w:val="15"/>
      </w:numPr>
      <w:spacing w:after="80" w:line="260" w:lineRule="atLeast"/>
      <w:jc w:val="both"/>
    </w:pPr>
    <w:rPr>
      <w:rFonts w:ascii="Arial" w:hAnsi="Arial" w:cs="Arial"/>
      <w:sz w:val="20"/>
      <w:szCs w:val="22"/>
    </w:rPr>
  </w:style>
  <w:style w:type="paragraph" w:customStyle="1" w:styleId="FINMAGliederungEbene3">
    <w:name w:val="FINMA Gliederung Ebene 3"/>
    <w:basedOn w:val="Standard"/>
    <w:qFormat/>
    <w:rsid w:val="007A36D2"/>
    <w:pPr>
      <w:numPr>
        <w:ilvl w:val="2"/>
        <w:numId w:val="15"/>
      </w:numPr>
      <w:spacing w:after="80" w:line="260" w:lineRule="atLeast"/>
      <w:jc w:val="both"/>
    </w:pPr>
    <w:rPr>
      <w:rFonts w:ascii="Arial" w:hAnsi="Arial" w:cs="Arial"/>
      <w:sz w:val="20"/>
      <w:szCs w:val="22"/>
    </w:rPr>
  </w:style>
  <w:style w:type="paragraph" w:customStyle="1" w:styleId="FINMAGliederungEbene4">
    <w:name w:val="FINMA Gliederung Ebene 4"/>
    <w:basedOn w:val="Standard"/>
    <w:rsid w:val="007A36D2"/>
    <w:pPr>
      <w:numPr>
        <w:ilvl w:val="3"/>
        <w:numId w:val="15"/>
      </w:numPr>
      <w:spacing w:after="80" w:line="260" w:lineRule="atLeast"/>
      <w:jc w:val="both"/>
    </w:pPr>
    <w:rPr>
      <w:rFonts w:ascii="Arial" w:hAnsi="Arial" w:cs="Arial"/>
      <w:sz w:val="20"/>
      <w:szCs w:val="22"/>
    </w:rPr>
  </w:style>
  <w:style w:type="paragraph" w:customStyle="1" w:styleId="FINMAAufzhlungEbene2">
    <w:name w:val="FINMA Aufzählung Ebene 2"/>
    <w:basedOn w:val="Standard"/>
    <w:qFormat/>
    <w:rsid w:val="00394320"/>
    <w:pPr>
      <w:numPr>
        <w:numId w:val="20"/>
      </w:numPr>
      <w:tabs>
        <w:tab w:val="left" w:pos="312"/>
      </w:tabs>
      <w:spacing w:after="80" w:line="260" w:lineRule="atLeast"/>
      <w:ind w:left="765" w:hanging="357"/>
      <w:jc w:val="both"/>
    </w:pPr>
    <w:rPr>
      <w:rFonts w:ascii="Arial" w:hAnsi="Arial"/>
      <w:sz w:val="20"/>
      <w:szCs w:val="20"/>
    </w:rPr>
  </w:style>
  <w:style w:type="character" w:styleId="BesuchterLink">
    <w:name w:val="FollowedHyperlink"/>
    <w:basedOn w:val="Absatz-Standardschriftart"/>
    <w:uiPriority w:val="99"/>
    <w:semiHidden/>
    <w:unhideWhenUsed/>
    <w:rsid w:val="003322B0"/>
    <w:rPr>
      <w:color w:val="800080" w:themeColor="followedHyperlink"/>
      <w:u w:val="single"/>
    </w:rPr>
  </w:style>
  <w:style w:type="character" w:styleId="NichtaufgelsteErwhnung">
    <w:name w:val="Unresolved Mention"/>
    <w:basedOn w:val="Absatz-Standardschriftart"/>
    <w:uiPriority w:val="99"/>
    <w:semiHidden/>
    <w:unhideWhenUsed/>
    <w:rsid w:val="00557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0113">
      <w:bodyDiv w:val="1"/>
      <w:marLeft w:val="284"/>
      <w:marRight w:val="284"/>
      <w:marTop w:val="0"/>
      <w:marBottom w:val="0"/>
      <w:divBdr>
        <w:top w:val="none" w:sz="0" w:space="0" w:color="auto"/>
        <w:left w:val="none" w:sz="0" w:space="0" w:color="auto"/>
        <w:bottom w:val="none" w:sz="0" w:space="0" w:color="auto"/>
        <w:right w:val="none" w:sz="0" w:space="0" w:color="auto"/>
      </w:divBdr>
      <w:divsChild>
        <w:div w:id="1489323260">
          <w:marLeft w:val="0"/>
          <w:marRight w:val="0"/>
          <w:marTop w:val="220"/>
          <w:marBottom w:val="0"/>
          <w:divBdr>
            <w:top w:val="none" w:sz="0" w:space="0" w:color="auto"/>
            <w:left w:val="none" w:sz="0" w:space="0" w:color="auto"/>
            <w:bottom w:val="none" w:sz="0" w:space="0" w:color="auto"/>
            <w:right w:val="none" w:sz="0" w:space="0" w:color="auto"/>
          </w:divBdr>
          <w:divsChild>
            <w:div w:id="500584003">
              <w:marLeft w:val="0"/>
              <w:marRight w:val="0"/>
              <w:marTop w:val="80"/>
              <w:marBottom w:val="0"/>
              <w:divBdr>
                <w:top w:val="none" w:sz="0" w:space="0" w:color="auto"/>
                <w:left w:val="none" w:sz="0" w:space="0" w:color="auto"/>
                <w:bottom w:val="none" w:sz="0" w:space="0" w:color="auto"/>
                <w:right w:val="none" w:sz="0" w:space="0" w:color="auto"/>
              </w:divBdr>
            </w:div>
            <w:div w:id="194480389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713883">
      <w:bodyDiv w:val="1"/>
      <w:marLeft w:val="0"/>
      <w:marRight w:val="0"/>
      <w:marTop w:val="0"/>
      <w:marBottom w:val="0"/>
      <w:divBdr>
        <w:top w:val="none" w:sz="0" w:space="0" w:color="auto"/>
        <w:left w:val="none" w:sz="0" w:space="0" w:color="auto"/>
        <w:bottom w:val="none" w:sz="0" w:space="0" w:color="auto"/>
        <w:right w:val="none" w:sz="0" w:space="0" w:color="auto"/>
      </w:divBdr>
    </w:div>
    <w:div w:id="274289946">
      <w:bodyDiv w:val="1"/>
      <w:marLeft w:val="284"/>
      <w:marRight w:val="284"/>
      <w:marTop w:val="0"/>
      <w:marBottom w:val="0"/>
      <w:divBdr>
        <w:top w:val="none" w:sz="0" w:space="0" w:color="auto"/>
        <w:left w:val="none" w:sz="0" w:space="0" w:color="auto"/>
        <w:bottom w:val="none" w:sz="0" w:space="0" w:color="auto"/>
        <w:right w:val="none" w:sz="0" w:space="0" w:color="auto"/>
      </w:divBdr>
      <w:divsChild>
        <w:div w:id="471555252">
          <w:marLeft w:val="0"/>
          <w:marRight w:val="0"/>
          <w:marTop w:val="220"/>
          <w:marBottom w:val="0"/>
          <w:divBdr>
            <w:top w:val="none" w:sz="0" w:space="0" w:color="auto"/>
            <w:left w:val="none" w:sz="0" w:space="0" w:color="auto"/>
            <w:bottom w:val="none" w:sz="0" w:space="0" w:color="auto"/>
            <w:right w:val="none" w:sz="0" w:space="0" w:color="auto"/>
          </w:divBdr>
          <w:divsChild>
            <w:div w:id="339815173">
              <w:marLeft w:val="0"/>
              <w:marRight w:val="0"/>
              <w:marTop w:val="80"/>
              <w:marBottom w:val="0"/>
              <w:divBdr>
                <w:top w:val="none" w:sz="0" w:space="0" w:color="auto"/>
                <w:left w:val="none" w:sz="0" w:space="0" w:color="auto"/>
                <w:bottom w:val="none" w:sz="0" w:space="0" w:color="auto"/>
                <w:right w:val="none" w:sz="0" w:space="0" w:color="auto"/>
              </w:divBdr>
            </w:div>
            <w:div w:id="2034383687">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328220635">
      <w:bodyDiv w:val="1"/>
      <w:marLeft w:val="0"/>
      <w:marRight w:val="0"/>
      <w:marTop w:val="0"/>
      <w:marBottom w:val="0"/>
      <w:divBdr>
        <w:top w:val="none" w:sz="0" w:space="0" w:color="auto"/>
        <w:left w:val="none" w:sz="0" w:space="0" w:color="auto"/>
        <w:bottom w:val="none" w:sz="0" w:space="0" w:color="auto"/>
        <w:right w:val="none" w:sz="0" w:space="0" w:color="auto"/>
      </w:divBdr>
    </w:div>
    <w:div w:id="394472100">
      <w:bodyDiv w:val="1"/>
      <w:marLeft w:val="284"/>
      <w:marRight w:val="284"/>
      <w:marTop w:val="0"/>
      <w:marBottom w:val="0"/>
      <w:divBdr>
        <w:top w:val="none" w:sz="0" w:space="0" w:color="auto"/>
        <w:left w:val="none" w:sz="0" w:space="0" w:color="auto"/>
        <w:bottom w:val="none" w:sz="0" w:space="0" w:color="auto"/>
        <w:right w:val="none" w:sz="0" w:space="0" w:color="auto"/>
      </w:divBdr>
      <w:divsChild>
        <w:div w:id="736368382">
          <w:marLeft w:val="0"/>
          <w:marRight w:val="0"/>
          <w:marTop w:val="220"/>
          <w:marBottom w:val="0"/>
          <w:divBdr>
            <w:top w:val="none" w:sz="0" w:space="0" w:color="auto"/>
            <w:left w:val="none" w:sz="0" w:space="0" w:color="auto"/>
            <w:bottom w:val="none" w:sz="0" w:space="0" w:color="auto"/>
            <w:right w:val="none" w:sz="0" w:space="0" w:color="auto"/>
          </w:divBdr>
          <w:divsChild>
            <w:div w:id="1654067679">
              <w:marLeft w:val="0"/>
              <w:marRight w:val="0"/>
              <w:marTop w:val="80"/>
              <w:marBottom w:val="0"/>
              <w:divBdr>
                <w:top w:val="none" w:sz="0" w:space="0" w:color="auto"/>
                <w:left w:val="none" w:sz="0" w:space="0" w:color="auto"/>
                <w:bottom w:val="none" w:sz="0" w:space="0" w:color="auto"/>
                <w:right w:val="none" w:sz="0" w:space="0" w:color="auto"/>
              </w:divBdr>
              <w:divsChild>
                <w:div w:id="730620497">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427194579">
      <w:bodyDiv w:val="1"/>
      <w:marLeft w:val="284"/>
      <w:marRight w:val="284"/>
      <w:marTop w:val="0"/>
      <w:marBottom w:val="0"/>
      <w:divBdr>
        <w:top w:val="none" w:sz="0" w:space="0" w:color="auto"/>
        <w:left w:val="none" w:sz="0" w:space="0" w:color="auto"/>
        <w:bottom w:val="none" w:sz="0" w:space="0" w:color="auto"/>
        <w:right w:val="none" w:sz="0" w:space="0" w:color="auto"/>
      </w:divBdr>
      <w:divsChild>
        <w:div w:id="834221784">
          <w:marLeft w:val="0"/>
          <w:marRight w:val="0"/>
          <w:marTop w:val="220"/>
          <w:marBottom w:val="0"/>
          <w:divBdr>
            <w:top w:val="none" w:sz="0" w:space="0" w:color="auto"/>
            <w:left w:val="none" w:sz="0" w:space="0" w:color="auto"/>
            <w:bottom w:val="none" w:sz="0" w:space="0" w:color="auto"/>
            <w:right w:val="none" w:sz="0" w:space="0" w:color="auto"/>
          </w:divBdr>
          <w:divsChild>
            <w:div w:id="1016082080">
              <w:marLeft w:val="0"/>
              <w:marRight w:val="0"/>
              <w:marTop w:val="80"/>
              <w:marBottom w:val="0"/>
              <w:divBdr>
                <w:top w:val="none" w:sz="0" w:space="0" w:color="auto"/>
                <w:left w:val="none" w:sz="0" w:space="0" w:color="auto"/>
                <w:bottom w:val="none" w:sz="0" w:space="0" w:color="auto"/>
                <w:right w:val="none" w:sz="0" w:space="0" w:color="auto"/>
              </w:divBdr>
            </w:div>
            <w:div w:id="1025135414">
              <w:marLeft w:val="0"/>
              <w:marRight w:val="0"/>
              <w:marTop w:val="80"/>
              <w:marBottom w:val="0"/>
              <w:divBdr>
                <w:top w:val="none" w:sz="0" w:space="0" w:color="auto"/>
                <w:left w:val="none" w:sz="0" w:space="0" w:color="auto"/>
                <w:bottom w:val="none" w:sz="0" w:space="0" w:color="auto"/>
                <w:right w:val="none" w:sz="0" w:space="0" w:color="auto"/>
              </w:divBdr>
            </w:div>
            <w:div w:id="1327586005">
              <w:marLeft w:val="0"/>
              <w:marRight w:val="0"/>
              <w:marTop w:val="80"/>
              <w:marBottom w:val="0"/>
              <w:divBdr>
                <w:top w:val="none" w:sz="0" w:space="0" w:color="auto"/>
                <w:left w:val="none" w:sz="0" w:space="0" w:color="auto"/>
                <w:bottom w:val="none" w:sz="0" w:space="0" w:color="auto"/>
                <w:right w:val="none" w:sz="0" w:space="0" w:color="auto"/>
              </w:divBdr>
            </w:div>
            <w:div w:id="1767993273">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486745981">
      <w:bodyDiv w:val="1"/>
      <w:marLeft w:val="284"/>
      <w:marRight w:val="284"/>
      <w:marTop w:val="0"/>
      <w:marBottom w:val="0"/>
      <w:divBdr>
        <w:top w:val="none" w:sz="0" w:space="0" w:color="auto"/>
        <w:left w:val="none" w:sz="0" w:space="0" w:color="auto"/>
        <w:bottom w:val="none" w:sz="0" w:space="0" w:color="auto"/>
        <w:right w:val="none" w:sz="0" w:space="0" w:color="auto"/>
      </w:divBdr>
      <w:divsChild>
        <w:div w:id="1341153891">
          <w:marLeft w:val="0"/>
          <w:marRight w:val="0"/>
          <w:marTop w:val="0"/>
          <w:marBottom w:val="0"/>
          <w:divBdr>
            <w:top w:val="none" w:sz="0" w:space="0" w:color="auto"/>
            <w:left w:val="none" w:sz="0" w:space="0" w:color="auto"/>
            <w:bottom w:val="none" w:sz="0" w:space="0" w:color="auto"/>
            <w:right w:val="none" w:sz="0" w:space="0" w:color="auto"/>
          </w:divBdr>
          <w:divsChild>
            <w:div w:id="228813522">
              <w:marLeft w:val="0"/>
              <w:marRight w:val="0"/>
              <w:marTop w:val="480"/>
              <w:marBottom w:val="0"/>
              <w:divBdr>
                <w:top w:val="none" w:sz="0" w:space="0" w:color="auto"/>
                <w:left w:val="none" w:sz="0" w:space="0" w:color="auto"/>
                <w:bottom w:val="none" w:sz="0" w:space="0" w:color="auto"/>
                <w:right w:val="none" w:sz="0" w:space="0" w:color="auto"/>
              </w:divBdr>
            </w:div>
            <w:div w:id="324935945">
              <w:marLeft w:val="0"/>
              <w:marRight w:val="0"/>
              <w:marTop w:val="300"/>
              <w:marBottom w:val="0"/>
              <w:divBdr>
                <w:top w:val="none" w:sz="0" w:space="0" w:color="auto"/>
                <w:left w:val="none" w:sz="0" w:space="0" w:color="auto"/>
                <w:bottom w:val="none" w:sz="0" w:space="0" w:color="auto"/>
                <w:right w:val="none" w:sz="0" w:space="0" w:color="auto"/>
              </w:divBdr>
            </w:div>
            <w:div w:id="378555352">
              <w:marLeft w:val="0"/>
              <w:marRight w:val="0"/>
              <w:marTop w:val="74"/>
              <w:marBottom w:val="0"/>
              <w:divBdr>
                <w:top w:val="none" w:sz="0" w:space="0" w:color="auto"/>
                <w:left w:val="none" w:sz="0" w:space="0" w:color="auto"/>
                <w:bottom w:val="none" w:sz="0" w:space="0" w:color="auto"/>
                <w:right w:val="none" w:sz="0" w:space="0" w:color="auto"/>
              </w:divBdr>
            </w:div>
            <w:div w:id="516845544">
              <w:marLeft w:val="0"/>
              <w:marRight w:val="0"/>
              <w:marTop w:val="130"/>
              <w:marBottom w:val="0"/>
              <w:divBdr>
                <w:top w:val="none" w:sz="0" w:space="0" w:color="auto"/>
                <w:left w:val="none" w:sz="0" w:space="0" w:color="auto"/>
                <w:bottom w:val="none" w:sz="0" w:space="0" w:color="auto"/>
                <w:right w:val="none" w:sz="0" w:space="0" w:color="auto"/>
              </w:divBdr>
              <w:divsChild>
                <w:div w:id="1273393222">
                  <w:marLeft w:val="284"/>
                  <w:marRight w:val="0"/>
                  <w:marTop w:val="60"/>
                  <w:marBottom w:val="0"/>
                  <w:divBdr>
                    <w:top w:val="none" w:sz="0" w:space="0" w:color="auto"/>
                    <w:left w:val="none" w:sz="0" w:space="0" w:color="auto"/>
                    <w:bottom w:val="none" w:sz="0" w:space="0" w:color="auto"/>
                    <w:right w:val="none" w:sz="0" w:space="0" w:color="auto"/>
                  </w:divBdr>
                </w:div>
                <w:div w:id="1341663125">
                  <w:marLeft w:val="284"/>
                  <w:marRight w:val="0"/>
                  <w:marTop w:val="60"/>
                  <w:marBottom w:val="0"/>
                  <w:divBdr>
                    <w:top w:val="none" w:sz="0" w:space="0" w:color="auto"/>
                    <w:left w:val="none" w:sz="0" w:space="0" w:color="auto"/>
                    <w:bottom w:val="none" w:sz="0" w:space="0" w:color="auto"/>
                    <w:right w:val="none" w:sz="0" w:space="0" w:color="auto"/>
                  </w:divBdr>
                </w:div>
              </w:divsChild>
            </w:div>
            <w:div w:id="1126698813">
              <w:marLeft w:val="0"/>
              <w:marRight w:val="0"/>
              <w:marTop w:val="130"/>
              <w:marBottom w:val="0"/>
              <w:divBdr>
                <w:top w:val="none" w:sz="0" w:space="0" w:color="auto"/>
                <w:left w:val="none" w:sz="0" w:space="0" w:color="auto"/>
                <w:bottom w:val="none" w:sz="0" w:space="0" w:color="auto"/>
                <w:right w:val="none" w:sz="0" w:space="0" w:color="auto"/>
              </w:divBdr>
            </w:div>
            <w:div w:id="1255090107">
              <w:marLeft w:val="0"/>
              <w:marRight w:val="0"/>
              <w:marTop w:val="74"/>
              <w:marBottom w:val="0"/>
              <w:divBdr>
                <w:top w:val="none" w:sz="0" w:space="0" w:color="auto"/>
                <w:left w:val="none" w:sz="0" w:space="0" w:color="auto"/>
                <w:bottom w:val="none" w:sz="0" w:space="0" w:color="auto"/>
                <w:right w:val="none" w:sz="0" w:space="0" w:color="auto"/>
              </w:divBdr>
              <w:divsChild>
                <w:div w:id="357699944">
                  <w:marLeft w:val="284"/>
                  <w:marRight w:val="0"/>
                  <w:marTop w:val="60"/>
                  <w:marBottom w:val="0"/>
                  <w:divBdr>
                    <w:top w:val="none" w:sz="0" w:space="0" w:color="auto"/>
                    <w:left w:val="none" w:sz="0" w:space="0" w:color="auto"/>
                    <w:bottom w:val="none" w:sz="0" w:space="0" w:color="auto"/>
                    <w:right w:val="none" w:sz="0" w:space="0" w:color="auto"/>
                  </w:divBdr>
                </w:div>
                <w:div w:id="676421243">
                  <w:marLeft w:val="284"/>
                  <w:marRight w:val="0"/>
                  <w:marTop w:val="60"/>
                  <w:marBottom w:val="0"/>
                  <w:divBdr>
                    <w:top w:val="none" w:sz="0" w:space="0" w:color="auto"/>
                    <w:left w:val="none" w:sz="0" w:space="0" w:color="auto"/>
                    <w:bottom w:val="none" w:sz="0" w:space="0" w:color="auto"/>
                    <w:right w:val="none" w:sz="0" w:space="0" w:color="auto"/>
                  </w:divBdr>
                </w:div>
                <w:div w:id="1045760110">
                  <w:marLeft w:val="284"/>
                  <w:marRight w:val="0"/>
                  <w:marTop w:val="60"/>
                  <w:marBottom w:val="0"/>
                  <w:divBdr>
                    <w:top w:val="none" w:sz="0" w:space="0" w:color="auto"/>
                    <w:left w:val="none" w:sz="0" w:space="0" w:color="auto"/>
                    <w:bottom w:val="none" w:sz="0" w:space="0" w:color="auto"/>
                    <w:right w:val="none" w:sz="0" w:space="0" w:color="auto"/>
                  </w:divBdr>
                </w:div>
                <w:div w:id="1156804604">
                  <w:marLeft w:val="284"/>
                  <w:marRight w:val="0"/>
                  <w:marTop w:val="60"/>
                  <w:marBottom w:val="0"/>
                  <w:divBdr>
                    <w:top w:val="none" w:sz="0" w:space="0" w:color="auto"/>
                    <w:left w:val="none" w:sz="0" w:space="0" w:color="auto"/>
                    <w:bottom w:val="none" w:sz="0" w:space="0" w:color="auto"/>
                    <w:right w:val="none" w:sz="0" w:space="0" w:color="auto"/>
                  </w:divBdr>
                </w:div>
                <w:div w:id="1192693726">
                  <w:marLeft w:val="284"/>
                  <w:marRight w:val="0"/>
                  <w:marTop w:val="60"/>
                  <w:marBottom w:val="0"/>
                  <w:divBdr>
                    <w:top w:val="none" w:sz="0" w:space="0" w:color="auto"/>
                    <w:left w:val="none" w:sz="0" w:space="0" w:color="auto"/>
                    <w:bottom w:val="none" w:sz="0" w:space="0" w:color="auto"/>
                    <w:right w:val="none" w:sz="0" w:space="0" w:color="auto"/>
                  </w:divBdr>
                </w:div>
                <w:div w:id="1707945311">
                  <w:marLeft w:val="284"/>
                  <w:marRight w:val="0"/>
                  <w:marTop w:val="60"/>
                  <w:marBottom w:val="0"/>
                  <w:divBdr>
                    <w:top w:val="none" w:sz="0" w:space="0" w:color="auto"/>
                    <w:left w:val="none" w:sz="0" w:space="0" w:color="auto"/>
                    <w:bottom w:val="none" w:sz="0" w:space="0" w:color="auto"/>
                    <w:right w:val="none" w:sz="0" w:space="0" w:color="auto"/>
                  </w:divBdr>
                </w:div>
                <w:div w:id="1810393648">
                  <w:marLeft w:val="284"/>
                  <w:marRight w:val="0"/>
                  <w:marTop w:val="60"/>
                  <w:marBottom w:val="0"/>
                  <w:divBdr>
                    <w:top w:val="none" w:sz="0" w:space="0" w:color="auto"/>
                    <w:left w:val="none" w:sz="0" w:space="0" w:color="auto"/>
                    <w:bottom w:val="none" w:sz="0" w:space="0" w:color="auto"/>
                    <w:right w:val="none" w:sz="0" w:space="0" w:color="auto"/>
                  </w:divBdr>
                </w:div>
              </w:divsChild>
            </w:div>
            <w:div w:id="145459737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493031816">
      <w:bodyDiv w:val="1"/>
      <w:marLeft w:val="0"/>
      <w:marRight w:val="0"/>
      <w:marTop w:val="0"/>
      <w:marBottom w:val="0"/>
      <w:divBdr>
        <w:top w:val="none" w:sz="0" w:space="0" w:color="auto"/>
        <w:left w:val="none" w:sz="0" w:space="0" w:color="auto"/>
        <w:bottom w:val="none" w:sz="0" w:space="0" w:color="auto"/>
        <w:right w:val="none" w:sz="0" w:space="0" w:color="auto"/>
      </w:divBdr>
    </w:div>
    <w:div w:id="510876421">
      <w:bodyDiv w:val="1"/>
      <w:marLeft w:val="284"/>
      <w:marRight w:val="284"/>
      <w:marTop w:val="0"/>
      <w:marBottom w:val="0"/>
      <w:divBdr>
        <w:top w:val="none" w:sz="0" w:space="0" w:color="auto"/>
        <w:left w:val="none" w:sz="0" w:space="0" w:color="auto"/>
        <w:bottom w:val="none" w:sz="0" w:space="0" w:color="auto"/>
        <w:right w:val="none" w:sz="0" w:space="0" w:color="auto"/>
      </w:divBdr>
      <w:divsChild>
        <w:div w:id="1893957251">
          <w:marLeft w:val="0"/>
          <w:marRight w:val="0"/>
          <w:marTop w:val="220"/>
          <w:marBottom w:val="0"/>
          <w:divBdr>
            <w:top w:val="none" w:sz="0" w:space="0" w:color="auto"/>
            <w:left w:val="none" w:sz="0" w:space="0" w:color="auto"/>
            <w:bottom w:val="none" w:sz="0" w:space="0" w:color="auto"/>
            <w:right w:val="none" w:sz="0" w:space="0" w:color="auto"/>
          </w:divBdr>
          <w:divsChild>
            <w:div w:id="567348648">
              <w:marLeft w:val="0"/>
              <w:marRight w:val="0"/>
              <w:marTop w:val="80"/>
              <w:marBottom w:val="0"/>
              <w:divBdr>
                <w:top w:val="none" w:sz="0" w:space="0" w:color="auto"/>
                <w:left w:val="none" w:sz="0" w:space="0" w:color="auto"/>
                <w:bottom w:val="none" w:sz="0" w:space="0" w:color="auto"/>
                <w:right w:val="none" w:sz="0" w:space="0" w:color="auto"/>
              </w:divBdr>
            </w:div>
            <w:div w:id="2049139229">
              <w:marLeft w:val="0"/>
              <w:marRight w:val="0"/>
              <w:marTop w:val="80"/>
              <w:marBottom w:val="0"/>
              <w:divBdr>
                <w:top w:val="none" w:sz="0" w:space="0" w:color="auto"/>
                <w:left w:val="none" w:sz="0" w:space="0" w:color="auto"/>
                <w:bottom w:val="none" w:sz="0" w:space="0" w:color="auto"/>
                <w:right w:val="none" w:sz="0" w:space="0" w:color="auto"/>
              </w:divBdr>
              <w:divsChild>
                <w:div w:id="870074583">
                  <w:marLeft w:val="284"/>
                  <w:marRight w:val="0"/>
                  <w:marTop w:val="60"/>
                  <w:marBottom w:val="0"/>
                  <w:divBdr>
                    <w:top w:val="none" w:sz="0" w:space="0" w:color="auto"/>
                    <w:left w:val="none" w:sz="0" w:space="0" w:color="auto"/>
                    <w:bottom w:val="none" w:sz="0" w:space="0" w:color="auto"/>
                    <w:right w:val="none" w:sz="0" w:space="0" w:color="auto"/>
                  </w:divBdr>
                </w:div>
                <w:div w:id="1646204314">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559054435">
      <w:bodyDiv w:val="1"/>
      <w:marLeft w:val="0"/>
      <w:marRight w:val="0"/>
      <w:marTop w:val="0"/>
      <w:marBottom w:val="0"/>
      <w:divBdr>
        <w:top w:val="none" w:sz="0" w:space="0" w:color="auto"/>
        <w:left w:val="none" w:sz="0" w:space="0" w:color="auto"/>
        <w:bottom w:val="none" w:sz="0" w:space="0" w:color="auto"/>
        <w:right w:val="none" w:sz="0" w:space="0" w:color="auto"/>
      </w:divBdr>
      <w:divsChild>
        <w:div w:id="947469450">
          <w:marLeft w:val="0"/>
          <w:marRight w:val="0"/>
          <w:marTop w:val="240"/>
          <w:marBottom w:val="240"/>
          <w:divBdr>
            <w:top w:val="single" w:sz="6" w:space="12" w:color="CCCC99"/>
            <w:left w:val="single" w:sz="6" w:space="12" w:color="CCCC99"/>
            <w:bottom w:val="single" w:sz="6" w:space="12" w:color="CCCC99"/>
            <w:right w:val="single" w:sz="6" w:space="12" w:color="CCCC99"/>
          </w:divBdr>
          <w:divsChild>
            <w:div w:id="169792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342432">
      <w:bodyDiv w:val="1"/>
      <w:marLeft w:val="284"/>
      <w:marRight w:val="284"/>
      <w:marTop w:val="0"/>
      <w:marBottom w:val="0"/>
      <w:divBdr>
        <w:top w:val="none" w:sz="0" w:space="0" w:color="auto"/>
        <w:left w:val="none" w:sz="0" w:space="0" w:color="auto"/>
        <w:bottom w:val="none" w:sz="0" w:space="0" w:color="auto"/>
        <w:right w:val="none" w:sz="0" w:space="0" w:color="auto"/>
      </w:divBdr>
      <w:divsChild>
        <w:div w:id="243809335">
          <w:marLeft w:val="0"/>
          <w:marRight w:val="0"/>
          <w:marTop w:val="220"/>
          <w:marBottom w:val="0"/>
          <w:divBdr>
            <w:top w:val="none" w:sz="0" w:space="0" w:color="auto"/>
            <w:left w:val="none" w:sz="0" w:space="0" w:color="auto"/>
            <w:bottom w:val="none" w:sz="0" w:space="0" w:color="auto"/>
            <w:right w:val="none" w:sz="0" w:space="0" w:color="auto"/>
          </w:divBdr>
          <w:divsChild>
            <w:div w:id="501437857">
              <w:marLeft w:val="0"/>
              <w:marRight w:val="0"/>
              <w:marTop w:val="80"/>
              <w:marBottom w:val="0"/>
              <w:divBdr>
                <w:top w:val="none" w:sz="0" w:space="0" w:color="auto"/>
                <w:left w:val="none" w:sz="0" w:space="0" w:color="auto"/>
                <w:bottom w:val="none" w:sz="0" w:space="0" w:color="auto"/>
                <w:right w:val="none" w:sz="0" w:space="0" w:color="auto"/>
              </w:divBdr>
            </w:div>
            <w:div w:id="863130069">
              <w:marLeft w:val="0"/>
              <w:marRight w:val="0"/>
              <w:marTop w:val="80"/>
              <w:marBottom w:val="0"/>
              <w:divBdr>
                <w:top w:val="none" w:sz="0" w:space="0" w:color="auto"/>
                <w:left w:val="none" w:sz="0" w:space="0" w:color="auto"/>
                <w:bottom w:val="none" w:sz="0" w:space="0" w:color="auto"/>
                <w:right w:val="none" w:sz="0" w:space="0" w:color="auto"/>
              </w:divBdr>
            </w:div>
            <w:div w:id="1371875498">
              <w:marLeft w:val="0"/>
              <w:marRight w:val="0"/>
              <w:marTop w:val="80"/>
              <w:marBottom w:val="0"/>
              <w:divBdr>
                <w:top w:val="none" w:sz="0" w:space="0" w:color="auto"/>
                <w:left w:val="none" w:sz="0" w:space="0" w:color="auto"/>
                <w:bottom w:val="none" w:sz="0" w:space="0" w:color="auto"/>
                <w:right w:val="none" w:sz="0" w:space="0" w:color="auto"/>
              </w:divBdr>
            </w:div>
            <w:div w:id="1897935344">
              <w:marLeft w:val="0"/>
              <w:marRight w:val="0"/>
              <w:marTop w:val="80"/>
              <w:marBottom w:val="0"/>
              <w:divBdr>
                <w:top w:val="none" w:sz="0" w:space="0" w:color="auto"/>
                <w:left w:val="none" w:sz="0" w:space="0" w:color="auto"/>
                <w:bottom w:val="none" w:sz="0" w:space="0" w:color="auto"/>
                <w:right w:val="none" w:sz="0" w:space="0" w:color="auto"/>
              </w:divBdr>
            </w:div>
            <w:div w:id="1983192414">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750126832">
      <w:bodyDiv w:val="1"/>
      <w:marLeft w:val="284"/>
      <w:marRight w:val="284"/>
      <w:marTop w:val="0"/>
      <w:marBottom w:val="0"/>
      <w:divBdr>
        <w:top w:val="none" w:sz="0" w:space="0" w:color="auto"/>
        <w:left w:val="none" w:sz="0" w:space="0" w:color="auto"/>
        <w:bottom w:val="none" w:sz="0" w:space="0" w:color="auto"/>
        <w:right w:val="none" w:sz="0" w:space="0" w:color="auto"/>
      </w:divBdr>
      <w:divsChild>
        <w:div w:id="962930875">
          <w:marLeft w:val="0"/>
          <w:marRight w:val="0"/>
          <w:marTop w:val="220"/>
          <w:marBottom w:val="0"/>
          <w:divBdr>
            <w:top w:val="none" w:sz="0" w:space="0" w:color="auto"/>
            <w:left w:val="none" w:sz="0" w:space="0" w:color="auto"/>
            <w:bottom w:val="none" w:sz="0" w:space="0" w:color="auto"/>
            <w:right w:val="none" w:sz="0" w:space="0" w:color="auto"/>
          </w:divBdr>
          <w:divsChild>
            <w:div w:id="1137071145">
              <w:marLeft w:val="0"/>
              <w:marRight w:val="0"/>
              <w:marTop w:val="80"/>
              <w:marBottom w:val="0"/>
              <w:divBdr>
                <w:top w:val="none" w:sz="0" w:space="0" w:color="auto"/>
                <w:left w:val="none" w:sz="0" w:space="0" w:color="auto"/>
                <w:bottom w:val="none" w:sz="0" w:space="0" w:color="auto"/>
                <w:right w:val="none" w:sz="0" w:space="0" w:color="auto"/>
              </w:divBdr>
            </w:div>
            <w:div w:id="1215892856">
              <w:marLeft w:val="0"/>
              <w:marRight w:val="0"/>
              <w:marTop w:val="80"/>
              <w:marBottom w:val="0"/>
              <w:divBdr>
                <w:top w:val="none" w:sz="0" w:space="0" w:color="auto"/>
                <w:left w:val="none" w:sz="0" w:space="0" w:color="auto"/>
                <w:bottom w:val="none" w:sz="0" w:space="0" w:color="auto"/>
                <w:right w:val="none" w:sz="0" w:space="0" w:color="auto"/>
              </w:divBdr>
            </w:div>
            <w:div w:id="1706907302">
              <w:marLeft w:val="0"/>
              <w:marRight w:val="0"/>
              <w:marTop w:val="80"/>
              <w:marBottom w:val="0"/>
              <w:divBdr>
                <w:top w:val="none" w:sz="0" w:space="0" w:color="auto"/>
                <w:left w:val="none" w:sz="0" w:space="0" w:color="auto"/>
                <w:bottom w:val="none" w:sz="0" w:space="0" w:color="auto"/>
                <w:right w:val="none" w:sz="0" w:space="0" w:color="auto"/>
              </w:divBdr>
            </w:div>
            <w:div w:id="2133865495">
              <w:marLeft w:val="0"/>
              <w:marRight w:val="0"/>
              <w:marTop w:val="80"/>
              <w:marBottom w:val="0"/>
              <w:divBdr>
                <w:top w:val="none" w:sz="0" w:space="0" w:color="auto"/>
                <w:left w:val="none" w:sz="0" w:space="0" w:color="auto"/>
                <w:bottom w:val="none" w:sz="0" w:space="0" w:color="auto"/>
                <w:right w:val="none" w:sz="0" w:space="0" w:color="auto"/>
              </w:divBdr>
            </w:div>
          </w:divsChild>
        </w:div>
      </w:divsChild>
    </w:div>
    <w:div w:id="834493543">
      <w:bodyDiv w:val="1"/>
      <w:marLeft w:val="0"/>
      <w:marRight w:val="0"/>
      <w:marTop w:val="0"/>
      <w:marBottom w:val="0"/>
      <w:divBdr>
        <w:top w:val="none" w:sz="0" w:space="0" w:color="auto"/>
        <w:left w:val="none" w:sz="0" w:space="0" w:color="auto"/>
        <w:bottom w:val="none" w:sz="0" w:space="0" w:color="auto"/>
        <w:right w:val="none" w:sz="0" w:space="0" w:color="auto"/>
      </w:divBdr>
    </w:div>
    <w:div w:id="854729094">
      <w:bodyDiv w:val="1"/>
      <w:marLeft w:val="0"/>
      <w:marRight w:val="0"/>
      <w:marTop w:val="0"/>
      <w:marBottom w:val="0"/>
      <w:divBdr>
        <w:top w:val="none" w:sz="0" w:space="0" w:color="auto"/>
        <w:left w:val="none" w:sz="0" w:space="0" w:color="auto"/>
        <w:bottom w:val="none" w:sz="0" w:space="0" w:color="auto"/>
        <w:right w:val="none" w:sz="0" w:space="0" w:color="auto"/>
      </w:divBdr>
    </w:div>
    <w:div w:id="874997472">
      <w:bodyDiv w:val="1"/>
      <w:marLeft w:val="0"/>
      <w:marRight w:val="0"/>
      <w:marTop w:val="0"/>
      <w:marBottom w:val="0"/>
      <w:divBdr>
        <w:top w:val="none" w:sz="0" w:space="0" w:color="auto"/>
        <w:left w:val="none" w:sz="0" w:space="0" w:color="auto"/>
        <w:bottom w:val="none" w:sz="0" w:space="0" w:color="auto"/>
        <w:right w:val="none" w:sz="0" w:space="0" w:color="auto"/>
      </w:divBdr>
    </w:div>
    <w:div w:id="1327126274">
      <w:bodyDiv w:val="1"/>
      <w:marLeft w:val="284"/>
      <w:marRight w:val="284"/>
      <w:marTop w:val="0"/>
      <w:marBottom w:val="0"/>
      <w:divBdr>
        <w:top w:val="none" w:sz="0" w:space="0" w:color="auto"/>
        <w:left w:val="none" w:sz="0" w:space="0" w:color="auto"/>
        <w:bottom w:val="none" w:sz="0" w:space="0" w:color="auto"/>
        <w:right w:val="none" w:sz="0" w:space="0" w:color="auto"/>
      </w:divBdr>
      <w:divsChild>
        <w:div w:id="1681003613">
          <w:marLeft w:val="0"/>
          <w:marRight w:val="0"/>
          <w:marTop w:val="220"/>
          <w:marBottom w:val="0"/>
          <w:divBdr>
            <w:top w:val="none" w:sz="0" w:space="0" w:color="auto"/>
            <w:left w:val="none" w:sz="0" w:space="0" w:color="auto"/>
            <w:bottom w:val="none" w:sz="0" w:space="0" w:color="auto"/>
            <w:right w:val="none" w:sz="0" w:space="0" w:color="auto"/>
          </w:divBdr>
          <w:divsChild>
            <w:div w:id="43719241">
              <w:marLeft w:val="0"/>
              <w:marRight w:val="0"/>
              <w:marTop w:val="80"/>
              <w:marBottom w:val="0"/>
              <w:divBdr>
                <w:top w:val="none" w:sz="0" w:space="0" w:color="auto"/>
                <w:left w:val="none" w:sz="0" w:space="0" w:color="auto"/>
                <w:bottom w:val="none" w:sz="0" w:space="0" w:color="auto"/>
                <w:right w:val="none" w:sz="0" w:space="0" w:color="auto"/>
              </w:divBdr>
            </w:div>
            <w:div w:id="1243179616">
              <w:marLeft w:val="0"/>
              <w:marRight w:val="0"/>
              <w:marTop w:val="80"/>
              <w:marBottom w:val="0"/>
              <w:divBdr>
                <w:top w:val="none" w:sz="0" w:space="0" w:color="auto"/>
                <w:left w:val="none" w:sz="0" w:space="0" w:color="auto"/>
                <w:bottom w:val="none" w:sz="0" w:space="0" w:color="auto"/>
                <w:right w:val="none" w:sz="0" w:space="0" w:color="auto"/>
              </w:divBdr>
              <w:divsChild>
                <w:div w:id="1872838606">
                  <w:marLeft w:val="284"/>
                  <w:marRight w:val="0"/>
                  <w:marTop w:val="60"/>
                  <w:marBottom w:val="0"/>
                  <w:divBdr>
                    <w:top w:val="none" w:sz="0" w:space="0" w:color="auto"/>
                    <w:left w:val="none" w:sz="0" w:space="0" w:color="auto"/>
                    <w:bottom w:val="none" w:sz="0" w:space="0" w:color="auto"/>
                    <w:right w:val="none" w:sz="0" w:space="0" w:color="auto"/>
                  </w:divBdr>
                </w:div>
                <w:div w:id="1931767939">
                  <w:marLeft w:val="284"/>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660306660">
      <w:bodyDiv w:val="1"/>
      <w:marLeft w:val="0"/>
      <w:marRight w:val="0"/>
      <w:marTop w:val="0"/>
      <w:marBottom w:val="0"/>
      <w:divBdr>
        <w:top w:val="none" w:sz="0" w:space="0" w:color="auto"/>
        <w:left w:val="none" w:sz="0" w:space="0" w:color="auto"/>
        <w:bottom w:val="none" w:sz="0" w:space="0" w:color="auto"/>
        <w:right w:val="none" w:sz="0" w:space="0" w:color="auto"/>
      </w:divBdr>
    </w:div>
    <w:div w:id="1720713555">
      <w:bodyDiv w:val="1"/>
      <w:marLeft w:val="0"/>
      <w:marRight w:val="0"/>
      <w:marTop w:val="0"/>
      <w:marBottom w:val="0"/>
      <w:divBdr>
        <w:top w:val="none" w:sz="0" w:space="0" w:color="auto"/>
        <w:left w:val="none" w:sz="0" w:space="0" w:color="auto"/>
        <w:bottom w:val="none" w:sz="0" w:space="0" w:color="auto"/>
        <w:right w:val="none" w:sz="0" w:space="0" w:color="auto"/>
      </w:divBdr>
    </w:div>
    <w:div w:id="1775713336">
      <w:bodyDiv w:val="1"/>
      <w:marLeft w:val="284"/>
      <w:marRight w:val="284"/>
      <w:marTop w:val="0"/>
      <w:marBottom w:val="0"/>
      <w:divBdr>
        <w:top w:val="none" w:sz="0" w:space="0" w:color="auto"/>
        <w:left w:val="none" w:sz="0" w:space="0" w:color="auto"/>
        <w:bottom w:val="none" w:sz="0" w:space="0" w:color="auto"/>
        <w:right w:val="none" w:sz="0" w:space="0" w:color="auto"/>
      </w:divBdr>
      <w:divsChild>
        <w:div w:id="1944192737">
          <w:marLeft w:val="0"/>
          <w:marRight w:val="0"/>
          <w:marTop w:val="0"/>
          <w:marBottom w:val="0"/>
          <w:divBdr>
            <w:top w:val="none" w:sz="0" w:space="0" w:color="auto"/>
            <w:left w:val="none" w:sz="0" w:space="0" w:color="auto"/>
            <w:bottom w:val="none" w:sz="0" w:space="0" w:color="auto"/>
            <w:right w:val="none" w:sz="0" w:space="0" w:color="auto"/>
          </w:divBdr>
          <w:divsChild>
            <w:div w:id="333147843">
              <w:marLeft w:val="0"/>
              <w:marRight w:val="0"/>
              <w:marTop w:val="300"/>
              <w:marBottom w:val="0"/>
              <w:divBdr>
                <w:top w:val="none" w:sz="0" w:space="0" w:color="auto"/>
                <w:left w:val="none" w:sz="0" w:space="0" w:color="auto"/>
                <w:bottom w:val="none" w:sz="0" w:space="0" w:color="auto"/>
                <w:right w:val="none" w:sz="0" w:space="0" w:color="auto"/>
              </w:divBdr>
            </w:div>
            <w:div w:id="374550145">
              <w:marLeft w:val="0"/>
              <w:marRight w:val="0"/>
              <w:marTop w:val="130"/>
              <w:marBottom w:val="0"/>
              <w:divBdr>
                <w:top w:val="none" w:sz="0" w:space="0" w:color="auto"/>
                <w:left w:val="none" w:sz="0" w:space="0" w:color="auto"/>
                <w:bottom w:val="none" w:sz="0" w:space="0" w:color="auto"/>
                <w:right w:val="none" w:sz="0" w:space="0" w:color="auto"/>
              </w:divBdr>
            </w:div>
            <w:div w:id="379672172">
              <w:marLeft w:val="0"/>
              <w:marRight w:val="0"/>
              <w:marTop w:val="300"/>
              <w:marBottom w:val="0"/>
              <w:divBdr>
                <w:top w:val="none" w:sz="0" w:space="0" w:color="auto"/>
                <w:left w:val="none" w:sz="0" w:space="0" w:color="auto"/>
                <w:bottom w:val="none" w:sz="0" w:space="0" w:color="auto"/>
                <w:right w:val="none" w:sz="0" w:space="0" w:color="auto"/>
              </w:divBdr>
            </w:div>
            <w:div w:id="1424523083">
              <w:marLeft w:val="0"/>
              <w:marRight w:val="0"/>
              <w:marTop w:val="130"/>
              <w:marBottom w:val="0"/>
              <w:divBdr>
                <w:top w:val="none" w:sz="0" w:space="0" w:color="auto"/>
                <w:left w:val="none" w:sz="0" w:space="0" w:color="auto"/>
                <w:bottom w:val="none" w:sz="0" w:space="0" w:color="auto"/>
                <w:right w:val="none" w:sz="0" w:space="0" w:color="auto"/>
              </w:divBdr>
              <w:divsChild>
                <w:div w:id="169833237">
                  <w:marLeft w:val="284"/>
                  <w:marRight w:val="0"/>
                  <w:marTop w:val="60"/>
                  <w:marBottom w:val="0"/>
                  <w:divBdr>
                    <w:top w:val="none" w:sz="0" w:space="0" w:color="auto"/>
                    <w:left w:val="none" w:sz="0" w:space="0" w:color="auto"/>
                    <w:bottom w:val="none" w:sz="0" w:space="0" w:color="auto"/>
                    <w:right w:val="none" w:sz="0" w:space="0" w:color="auto"/>
                  </w:divBdr>
                </w:div>
                <w:div w:id="182016696">
                  <w:marLeft w:val="284"/>
                  <w:marRight w:val="0"/>
                  <w:marTop w:val="60"/>
                  <w:marBottom w:val="0"/>
                  <w:divBdr>
                    <w:top w:val="none" w:sz="0" w:space="0" w:color="auto"/>
                    <w:left w:val="none" w:sz="0" w:space="0" w:color="auto"/>
                    <w:bottom w:val="none" w:sz="0" w:space="0" w:color="auto"/>
                    <w:right w:val="none" w:sz="0" w:space="0" w:color="auto"/>
                  </w:divBdr>
                </w:div>
              </w:divsChild>
            </w:div>
            <w:div w:id="1612008353">
              <w:marLeft w:val="0"/>
              <w:marRight w:val="0"/>
              <w:marTop w:val="74"/>
              <w:marBottom w:val="0"/>
              <w:divBdr>
                <w:top w:val="none" w:sz="0" w:space="0" w:color="auto"/>
                <w:left w:val="none" w:sz="0" w:space="0" w:color="auto"/>
                <w:bottom w:val="none" w:sz="0" w:space="0" w:color="auto"/>
                <w:right w:val="none" w:sz="0" w:space="0" w:color="auto"/>
              </w:divBdr>
              <w:divsChild>
                <w:div w:id="34358007">
                  <w:marLeft w:val="284"/>
                  <w:marRight w:val="0"/>
                  <w:marTop w:val="60"/>
                  <w:marBottom w:val="0"/>
                  <w:divBdr>
                    <w:top w:val="none" w:sz="0" w:space="0" w:color="auto"/>
                    <w:left w:val="none" w:sz="0" w:space="0" w:color="auto"/>
                    <w:bottom w:val="none" w:sz="0" w:space="0" w:color="auto"/>
                    <w:right w:val="none" w:sz="0" w:space="0" w:color="auto"/>
                  </w:divBdr>
                </w:div>
                <w:div w:id="39207386">
                  <w:marLeft w:val="284"/>
                  <w:marRight w:val="0"/>
                  <w:marTop w:val="60"/>
                  <w:marBottom w:val="0"/>
                  <w:divBdr>
                    <w:top w:val="none" w:sz="0" w:space="0" w:color="auto"/>
                    <w:left w:val="none" w:sz="0" w:space="0" w:color="auto"/>
                    <w:bottom w:val="none" w:sz="0" w:space="0" w:color="auto"/>
                    <w:right w:val="none" w:sz="0" w:space="0" w:color="auto"/>
                  </w:divBdr>
                </w:div>
                <w:div w:id="335038989">
                  <w:marLeft w:val="284"/>
                  <w:marRight w:val="0"/>
                  <w:marTop w:val="60"/>
                  <w:marBottom w:val="0"/>
                  <w:divBdr>
                    <w:top w:val="none" w:sz="0" w:space="0" w:color="auto"/>
                    <w:left w:val="none" w:sz="0" w:space="0" w:color="auto"/>
                    <w:bottom w:val="none" w:sz="0" w:space="0" w:color="auto"/>
                    <w:right w:val="none" w:sz="0" w:space="0" w:color="auto"/>
                  </w:divBdr>
                </w:div>
                <w:div w:id="337773658">
                  <w:marLeft w:val="284"/>
                  <w:marRight w:val="0"/>
                  <w:marTop w:val="60"/>
                  <w:marBottom w:val="0"/>
                  <w:divBdr>
                    <w:top w:val="none" w:sz="0" w:space="0" w:color="auto"/>
                    <w:left w:val="none" w:sz="0" w:space="0" w:color="auto"/>
                    <w:bottom w:val="none" w:sz="0" w:space="0" w:color="auto"/>
                    <w:right w:val="none" w:sz="0" w:space="0" w:color="auto"/>
                  </w:divBdr>
                </w:div>
                <w:div w:id="409620496">
                  <w:marLeft w:val="284"/>
                  <w:marRight w:val="0"/>
                  <w:marTop w:val="60"/>
                  <w:marBottom w:val="0"/>
                  <w:divBdr>
                    <w:top w:val="none" w:sz="0" w:space="0" w:color="auto"/>
                    <w:left w:val="none" w:sz="0" w:space="0" w:color="auto"/>
                    <w:bottom w:val="none" w:sz="0" w:space="0" w:color="auto"/>
                    <w:right w:val="none" w:sz="0" w:space="0" w:color="auto"/>
                  </w:divBdr>
                </w:div>
                <w:div w:id="1331059388">
                  <w:marLeft w:val="284"/>
                  <w:marRight w:val="0"/>
                  <w:marTop w:val="60"/>
                  <w:marBottom w:val="0"/>
                  <w:divBdr>
                    <w:top w:val="none" w:sz="0" w:space="0" w:color="auto"/>
                    <w:left w:val="none" w:sz="0" w:space="0" w:color="auto"/>
                    <w:bottom w:val="none" w:sz="0" w:space="0" w:color="auto"/>
                    <w:right w:val="none" w:sz="0" w:space="0" w:color="auto"/>
                  </w:divBdr>
                </w:div>
                <w:div w:id="1655378644">
                  <w:marLeft w:val="284"/>
                  <w:marRight w:val="0"/>
                  <w:marTop w:val="60"/>
                  <w:marBottom w:val="0"/>
                  <w:divBdr>
                    <w:top w:val="none" w:sz="0" w:space="0" w:color="auto"/>
                    <w:left w:val="none" w:sz="0" w:space="0" w:color="auto"/>
                    <w:bottom w:val="none" w:sz="0" w:space="0" w:color="auto"/>
                    <w:right w:val="none" w:sz="0" w:space="0" w:color="auto"/>
                  </w:divBdr>
                </w:div>
              </w:divsChild>
            </w:div>
            <w:div w:id="1717852086">
              <w:marLeft w:val="0"/>
              <w:marRight w:val="0"/>
              <w:marTop w:val="480"/>
              <w:marBottom w:val="0"/>
              <w:divBdr>
                <w:top w:val="none" w:sz="0" w:space="0" w:color="auto"/>
                <w:left w:val="none" w:sz="0" w:space="0" w:color="auto"/>
                <w:bottom w:val="none" w:sz="0" w:space="0" w:color="auto"/>
                <w:right w:val="none" w:sz="0" w:space="0" w:color="auto"/>
              </w:divBdr>
            </w:div>
            <w:div w:id="2074692336">
              <w:marLeft w:val="0"/>
              <w:marRight w:val="0"/>
              <w:marTop w:val="74"/>
              <w:marBottom w:val="0"/>
              <w:divBdr>
                <w:top w:val="none" w:sz="0" w:space="0" w:color="auto"/>
                <w:left w:val="none" w:sz="0" w:space="0" w:color="auto"/>
                <w:bottom w:val="none" w:sz="0" w:space="0" w:color="auto"/>
                <w:right w:val="none" w:sz="0" w:space="0" w:color="auto"/>
              </w:divBdr>
            </w:div>
          </w:divsChild>
        </w:div>
      </w:divsChild>
    </w:div>
    <w:div w:id="1835872049">
      <w:bodyDiv w:val="1"/>
      <w:marLeft w:val="0"/>
      <w:marRight w:val="0"/>
      <w:marTop w:val="0"/>
      <w:marBottom w:val="0"/>
      <w:divBdr>
        <w:top w:val="none" w:sz="0" w:space="0" w:color="auto"/>
        <w:left w:val="none" w:sz="0" w:space="0" w:color="auto"/>
        <w:bottom w:val="none" w:sz="0" w:space="0" w:color="auto"/>
        <w:right w:val="none" w:sz="0" w:space="0" w:color="auto"/>
      </w:divBdr>
    </w:div>
    <w:div w:id="1879203510">
      <w:bodyDiv w:val="1"/>
      <w:marLeft w:val="0"/>
      <w:marRight w:val="0"/>
      <w:marTop w:val="0"/>
      <w:marBottom w:val="0"/>
      <w:divBdr>
        <w:top w:val="none" w:sz="0" w:space="0" w:color="auto"/>
        <w:left w:val="none" w:sz="0" w:space="0" w:color="auto"/>
        <w:bottom w:val="none" w:sz="0" w:space="0" w:color="auto"/>
        <w:right w:val="none" w:sz="0" w:space="0" w:color="auto"/>
      </w:divBdr>
    </w:div>
    <w:div w:id="195975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MP_InheritedTags xmlns="6d7844ee-d12b-4797-a453-a64684132083">((sn45)(sn40)(sn1))((sn15)(sn5)(sn2))((sn26)(sn6)(sn2))((sn32)(sn10)(sn2))((sn36)(sn7)(sn2))((sn61)(sn39)(sn1))((sn607)(sn58)(sn41)(sn1))</MP_InheritedTags>
    <Ratings xmlns="http://schemas.microsoft.com/sharepoint/v3" xsi:nil="true"/>
    <LikedBy xmlns="http://schemas.microsoft.com/sharepoint/v3">
      <UserInfo>
        <DisplayName/>
        <AccountId xsi:nil="true"/>
        <AccountType/>
      </UserInfo>
    </LikedBy>
    <MP_UserTags xmlns="6d7844ee-d12b-4797-a453-a64684132083" xsi:nil="true"/>
    <RatedBy xmlns="http://schemas.microsoft.com/sharepoint/v3">
      <UserInfo>
        <DisplayName/>
        <AccountId xsi:nil="true"/>
        <AccountType/>
      </UserInfo>
    </RatedB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FD999CE6AF634495CD77CE9CC9E69C" ma:contentTypeVersion="9" ma:contentTypeDescription="Create a new document." ma:contentTypeScope="" ma:versionID="8c7d1960272b569e5cdda5540436e52c">
  <xsd:schema xmlns:xsd="http://www.w3.org/2001/XMLSchema" xmlns:xs="http://www.w3.org/2001/XMLSchema" xmlns:p="http://schemas.microsoft.com/office/2006/metadata/properties" xmlns:ns1="http://schemas.microsoft.com/sharepoint/v3" xmlns:ns2="6d7844ee-d12b-4797-a453-a64684132083" targetNamespace="http://schemas.microsoft.com/office/2006/metadata/properties" ma:root="true" ma:fieldsID="bd501fb848756aedec5e2db3d96d26e2" ns1:_="" ns2:_="">
    <xsd:import namespace="http://schemas.microsoft.com/sharepoint/v3"/>
    <xsd:import namespace="6d7844ee-d12b-4797-a453-a64684132083"/>
    <xsd:element name="properties">
      <xsd:complexType>
        <xsd:sequence>
          <xsd:element name="documentManagement">
            <xsd:complexType>
              <xsd:all>
                <xsd:element ref="ns2:MP_UserTags" minOccurs="0"/>
                <xsd:element ref="ns2:MP_InheritedTags" minOccurs="0"/>
                <xsd:element ref="ns1:AverageRating" minOccurs="0"/>
                <xsd:element ref="ns1:RatingCount" minOccurs="0"/>
                <xsd:element ref="ns1:RatedBy" minOccurs="0"/>
                <xsd:element ref="ns1:Ratings" minOccurs="0"/>
                <xsd:element ref="ns1:LikesCount" minOccurs="0"/>
                <xsd:element ref="ns1:LikedB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0" nillable="true" ma:displayName="Rating (0-5)" ma:decimals="2" ma:description="Average value of all the ratings that have been submitted" ma:internalName="AverageRating" ma:readOnly="true">
      <xsd:simpleType>
        <xsd:restriction base="dms:Number"/>
      </xsd:simpleType>
    </xsd:element>
    <xsd:element name="RatingCount" ma:index="11" nillable="true" ma:displayName="Number of Ratings" ma:decimals="0" ma:description="Number of ratings submitted" ma:internalName="RatingCount" ma:readOnly="true">
      <xsd:simpleType>
        <xsd:restriction base="dms:Number"/>
      </xsd:simpleType>
    </xsd:element>
    <xsd:element name="RatedBy" ma:index="1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3" nillable="true" ma:displayName="User ratings" ma:description="User ratings for the item" ma:hidden="true" ma:internalName="Ratings">
      <xsd:simpleType>
        <xsd:restriction base="dms:Note"/>
      </xsd:simpleType>
    </xsd:element>
    <xsd:element name="LikesCount" ma:index="14" nillable="true" ma:displayName="Number of Likes" ma:internalName="LikesCount">
      <xsd:simpleType>
        <xsd:restriction base="dms:Unknown"/>
      </xsd:simpleType>
    </xsd:element>
    <xsd:element name="LikedBy" ma:index="1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7844ee-d12b-4797-a453-a64684132083" elementFormDefault="qualified">
    <xsd:import namespace="http://schemas.microsoft.com/office/2006/documentManagement/types"/>
    <xsd:import namespace="http://schemas.microsoft.com/office/infopath/2007/PartnerControls"/>
    <xsd:element name="MP_UserTags" ma:index="8" nillable="true" ma:displayName="Tags" ma:hidden="true" ma:internalName="MP_UserTags" ma:readOnly="false">
      <xsd:simpleType>
        <xsd:restriction base="dms:Unknown"/>
      </xsd:simpleType>
    </xsd:element>
    <xsd:element name="MP_InheritedTags" ma:index="9" nillable="true" ma:displayName="Inherited Tags" ma:hidden="true" ma:internalName="MP_InheritedTags" ma:readOnly="false">
      <xsd:simpleType>
        <xsd:restriction base="dms:Unknown"/>
      </xsd:simpleType>
    </xsd:element>
    <xsd:element name="SharedWithUsers" ma:index="1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CED2CB-D2D1-424B-9FD1-920F47901F66}">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6d7844ee-d12b-4797-a453-a6468413208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4F82C2F-B4B0-4952-8822-26CDBF9F6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7844ee-d12b-4797-a453-a646841320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EC292-62C1-45D0-8F7D-93B7E3EBEC49}">
  <ds:schemaRefs>
    <ds:schemaRef ds:uri="http://schemas.openxmlformats.org/officeDocument/2006/bibliography"/>
  </ds:schemaRefs>
</ds:datastoreItem>
</file>

<file path=customXml/itemProps4.xml><?xml version="1.0" encoding="utf-8"?>
<ds:datastoreItem xmlns:ds="http://schemas.openxmlformats.org/officeDocument/2006/customXml" ds:itemID="{84AA2CFE-F479-4639-B4B8-01930967CAAA}">
  <ds:schemaRefs>
    <ds:schemaRef ds:uri="http://schemas.microsoft.com/sharepoint/v3/contenttype/forms"/>
  </ds:schemaRefs>
</ds:datastoreItem>
</file>

<file path=docMetadata/LabelInfo.xml><?xml version="1.0" encoding="utf-8"?>
<clbl:labelList xmlns:clbl="http://schemas.microsoft.com/office/2020/mipLabelMetadata">
  <clbl:label id="{3ed75b45-4f7e-4f94-a83b-778a4e43256c}" enabled="1" method="Standard" siteId="{d5b6ddd0-2530-40f4-98a2-34ac286d8ef1}"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99</Pages>
  <Words>37758</Words>
  <Characters>237882</Characters>
  <Application>Microsoft Office Word</Application>
  <DocSecurity>0</DocSecurity>
  <Lines>1982</Lines>
  <Paragraphs>550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Prof</vt:lpstr>
      <vt:lpstr>Prof</vt:lpstr>
    </vt:vector>
  </TitlesOfParts>
  <Company>Landesverwaltung Liechtenstein</Company>
  <LinksUpToDate>false</LinksUpToDate>
  <CharactersWithSpaces>275090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dc:title>
  <dc:creator>Wanner-Walch Desiree</dc:creator>
  <cp:lastModifiedBy>Wanner-Walch Desiree</cp:lastModifiedBy>
  <cp:revision>253</cp:revision>
  <cp:lastPrinted>2024-11-06T14:03:00Z</cp:lastPrinted>
  <dcterms:created xsi:type="dcterms:W3CDTF">2022-11-18T07:56:00Z</dcterms:created>
  <dcterms:modified xsi:type="dcterms:W3CDTF">2025-12-12T08:55:00Z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0x01010089FD999CE6AF634495CD77CE9CC9E69C</vt:lpwstr>
  </property>
</Properties>
</file>